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25" w:rsidRPr="00610325" w:rsidRDefault="00610325" w:rsidP="00610325">
      <w:pPr>
        <w:spacing w:after="0" w:line="555" w:lineRule="atLeast"/>
        <w:outlineLvl w:val="0"/>
        <w:rPr>
          <w:rFonts w:ascii="Montserrat-Bold" w:eastAsia="Times New Roman" w:hAnsi="Montserrat-Bold" w:cs="Times New Roman"/>
          <w:caps/>
          <w:color w:val="305B7F"/>
          <w:kern w:val="36"/>
          <w:sz w:val="45"/>
          <w:szCs w:val="45"/>
          <w:lang w:eastAsia="en-GB"/>
        </w:rPr>
      </w:pPr>
      <w:r>
        <w:rPr>
          <w:rFonts w:ascii="Montserrat-Bold" w:eastAsia="Times New Roman" w:hAnsi="Montserrat-Bold" w:cs="Times New Roman"/>
          <w:caps/>
          <w:color w:val="305B7F"/>
          <w:kern w:val="36"/>
          <w:sz w:val="45"/>
          <w:szCs w:val="45"/>
          <w:lang w:val="bg-BG" w:eastAsia="en-GB"/>
        </w:rPr>
        <w:t>БЮЛЕТИН</w:t>
      </w:r>
      <w:r w:rsidRPr="00610325">
        <w:rPr>
          <w:rFonts w:ascii="Montserrat-Bold" w:eastAsia="Times New Roman" w:hAnsi="Montserrat-Bold" w:cs="Times New Roman"/>
          <w:caps/>
          <w:color w:val="305B7F"/>
          <w:kern w:val="36"/>
          <w:sz w:val="45"/>
          <w:szCs w:val="45"/>
          <w:lang w:eastAsia="en-GB"/>
        </w:rPr>
        <w:t xml:space="preserve"> III 2018</w:t>
      </w:r>
    </w:p>
    <w:p w:rsidR="00610325" w:rsidRPr="00610325" w:rsidRDefault="00610325" w:rsidP="00610325">
      <w:pPr>
        <w:spacing w:after="0" w:line="330" w:lineRule="atLeast"/>
        <w:outlineLvl w:val="5"/>
        <w:rPr>
          <w:rFonts w:ascii="Montserrat-Bold" w:eastAsia="Times New Roman" w:hAnsi="Montserrat-Bold" w:cs="Times New Roman"/>
          <w:caps/>
          <w:color w:val="305B7F"/>
          <w:sz w:val="23"/>
          <w:szCs w:val="23"/>
          <w:lang w:eastAsia="en-GB"/>
        </w:rPr>
      </w:pPr>
      <w:r w:rsidRPr="00610325">
        <w:rPr>
          <w:rFonts w:ascii="Montserrat-Bold" w:eastAsia="Times New Roman" w:hAnsi="Montserrat-Bold" w:cs="Times New Roman"/>
          <w:caps/>
          <w:color w:val="305B7F"/>
          <w:sz w:val="23"/>
          <w:szCs w:val="23"/>
          <w:lang w:eastAsia="en-GB"/>
        </w:rPr>
        <w:t>18-07-2018</w:t>
      </w:r>
    </w:p>
    <w:tbl>
      <w:tblPr>
        <w:tblW w:w="1605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0"/>
      </w:tblGrid>
      <w:tr w:rsidR="00610325" w:rsidRPr="00610325" w:rsidTr="00610325">
        <w:trPr>
          <w:trHeight w:val="31680"/>
        </w:trPr>
        <w:tc>
          <w:tcPr>
            <w:tcW w:w="1605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4"/>
            </w:tblGrid>
            <w:tr w:rsidR="00610325" w:rsidRPr="00610325"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9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4"/>
                  </w:tblGrid>
                  <w:tr w:rsidR="00610325" w:rsidRPr="00610325"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shd w:val="clear" w:color="auto" w:fill="F6F6F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24"/>
                        </w:tblGrid>
                        <w:tr w:rsidR="00610325" w:rsidRPr="00610325">
                          <w:tc>
                            <w:tcPr>
                              <w:tcW w:w="9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6F6F6"/>
                              <w:hideMark/>
                            </w:tcPr>
                            <w:tbl>
                              <w:tblPr>
                                <w:tblW w:w="9000" w:type="dxa"/>
                                <w:shd w:val="clear" w:color="auto" w:fill="F6F6F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3"/>
                              </w:tblGrid>
                              <w:tr w:rsidR="00610325" w:rsidRPr="00610325">
                                <w:tc>
                                  <w:tcPr>
                                    <w:tcW w:w="90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6F6F6"/>
                                    <w:hideMark/>
                                  </w:tcPr>
                                  <w:p w:rsidR="00610325" w:rsidRPr="00610325" w:rsidRDefault="00610325" w:rsidP="0061032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716905" cy="1526540"/>
                                          <wp:effectExtent l="0" t="0" r="0" b="0"/>
                                          <wp:docPr id="29" name="Picture 29" descr="http://www.interreg-danube.eu/themes/dtp/email-templates/contact_1026.jpg?v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www.interreg-danube.eu/themes/dtp/email-templates/contact_1026.jpg?v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6905" cy="1526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10325" w:rsidRPr="00610325" w:rsidRDefault="00610325" w:rsidP="006103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610325" w:rsidRPr="00610325">
                          <w:tc>
                            <w:tcPr>
                              <w:tcW w:w="9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6F6F6"/>
                              <w:hideMark/>
                            </w:tcPr>
                            <w:tbl>
                              <w:tblPr>
                                <w:tblW w:w="900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9604"/>
                                <w:gridCol w:w="60"/>
                              </w:tblGrid>
                              <w:tr w:rsidR="00610325" w:rsidRPr="00610325">
                                <w:tc>
                                  <w:tcPr>
                                    <w:tcW w:w="3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610325" w:rsidRPr="00610325" w:rsidRDefault="00610325" w:rsidP="0061032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61032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4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28" name="Picture 28" descr="http://www.interreg-danube.eu/themes/dtp/email-templates/yellow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://www.interreg-danube.eu/themes/dtp/email-templates/yellow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ЗА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098540" cy="3530600"/>
                                                      <wp:effectExtent l="0" t="0" r="0" b="0"/>
                                                      <wp:docPr id="27" name="Picture 27" descr="http://www.interreg-danube.eu/uploads/media/approved_project_public/0001/19/3a33d63e29da2219c17d0ba4caf781e0a1565f39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://www.interreg-danube.eu/uploads/media/approved_project_public/0001/19/3a33d63e29da2219c17d0ba4caf781e0a1565f39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098540" cy="3530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“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Вашият отпадък е моето богатство</w:t>
                                                </w:r>
                                                <w:r w:rsidRPr="00270622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” 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Това е мотото на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съфинансирания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от ЕС проект</w:t>
                                                </w:r>
                                                <w:r w:rsidRPr="00270622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"http://www.interreg-danube.eu/moveco" \t "_blank" </w:instrTex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Шестнадесет партньора от десет дунавски страни насърчават транснационалното сътрудничество, за да ускорят прехода към кръгова икономика.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Повече информация можете да намерите на уебсайта на проекта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hyperlink r:id="rId11" w:tgtFrame="_blank" w:history="1"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www.interreg-danube.eu/moveco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26" name="Picture 26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КРЪГОВАТА ИКОНОМИКА КАТО МОДЕЛ ЗА БЪДЕЩЕТО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 xml:space="preserve"> –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 xml:space="preserve"> НОВА ОНЛАЙН ПЛАТФОРМА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8"/>
                                            <w:gridCol w:w="3895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1C8C8BA2" wp14:editId="56D5822B">
                                                      <wp:extent cx="2480945" cy="1654175"/>
                                                      <wp:effectExtent l="0" t="0" r="0" b="3175"/>
                                                      <wp:docPr id="25" name="Picture 25" descr="Depositphotos Photo-ID: 180451070 KateNovikova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Depositphotos Photo-ID: 180451070 KateNovikova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16541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Компании и научноизследователски организации от страните от Дунавския регион  вече имат възможност да обменят продукти, материали и ресурси за повторна употреба чрез нова онлайн платформа, както и да изградят мрежи на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сътрудничество,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за да насърчат кръговата икономика.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Тази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платформа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14" w:tgtFrame="_blank" w:history="1"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http://danube-goes-circular.eu/</w:t>
                                                  </w:r>
                                                </w:hyperlink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),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включваща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виртуален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пазар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е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създадена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в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рамките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на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финансирания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по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европейска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програма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Interreg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проект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в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който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участват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партньори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от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десет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страни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в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Дунавския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регион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Международният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консорциум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също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така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предлага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на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заинтересовани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страни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инструментариум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за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осъществяване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на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идеи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на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кръговата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икономика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от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бизнеса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и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организации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докато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в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същото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време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ги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информира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по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свързани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теми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като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схеми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за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разширена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отговорност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на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производителя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в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различните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страни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610325" w:rsidRPr="00610325" w:rsidRDefault="00821C7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hyperlink r:id="rId15" w:tgtFrame="_blank" w:history="1">
                                                  <w:r w:rsid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 xml:space="preserve">Прочетете цялото </w:t>
                                                  </w:r>
                                                  <w:proofErr w:type="spellStart"/>
                                                  <w:r w:rsid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прессъобщение</w:t>
                                                  </w:r>
                                                  <w:proofErr w:type="spellEnd"/>
                                                  <w:r w:rsid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 xml:space="preserve"> </w:t>
                                                  </w:r>
                                                </w:hyperlink>
                                                <w:r w:rsid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или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hyperlink r:id="rId16" w:tgtFrame="_blank" w:history="1">
                                                  <w:r w:rsid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посетете платформата</w:t>
                                                  </w:r>
                                                </w:hyperlink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24" name="Picture 24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8758A6" w:rsidP="008758A6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 xml:space="preserve">Четвърта Среща на партньорите по проект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 xml:space="preserve"> в Мюнхен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9"/>
                                            <w:gridCol w:w="3894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19FF4A5A" wp14:editId="71D40F79">
                                                      <wp:extent cx="2480945" cy="1733550"/>
                                                      <wp:effectExtent l="0" t="0" r="0" b="0"/>
                                                      <wp:docPr id="23" name="Picture 23" descr="http://www.interreg-danube.eu/uploads/media/approved_project_public/0001/19/2f03f009c2a4b9f93a2b466a91d1a447775b07d9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://www.interreg-danube.eu/uploads/media/approved_project_public/0001/19/2f03f009c2a4b9f93a2b466a91d1a447775b07d9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1733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8758A6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На 12-13 юни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 в Мюнхен се състоя четвъртата среща на партньорите по проект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"http://www.interreg-danube.eu/approved-projects/moveco"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в седалището на</w:t>
                                                </w:r>
                                                <w:r w:rsidR="0054652C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Баварски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я</w:t>
                                                </w:r>
                                                <w:r w:rsidR="0054652C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изследователски съюз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54652C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18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Bavarian Research Alliance</w:t>
                                                  </w:r>
                                                </w:hyperlink>
                                                <w:r w:rsidR="0054652C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BayFOR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институция, която цели да превърне Бавария във водещ европейски център за научни изследвания и иновации.</w:t>
                                                </w:r>
                                              </w:p>
                                              <w:p w:rsidR="00072B44" w:rsidRDefault="00072B44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</w:p>
                                              <w:p w:rsidR="00610325" w:rsidRPr="00610325" w:rsidRDefault="00072B44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Една от темите на срещата беше обучение относно инструменти</w:t>
                                                </w:r>
                                                <w:r w:rsidR="00E163C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те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за иновации в областта на кръговата икономика, предназначено за организации в подкрепа на бизнеса, малки и средни предприятия и други заинтересовани страни. </w:t>
                                                </w:r>
                                                <w:r w:rsidR="00E163C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Инструментариумът предлага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информация</w:t>
                                                </w:r>
                                                <w:r w:rsidR="00E163C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относно възможности за квалификация,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сътруд</w:t>
                                                </w:r>
                                                <w:r w:rsidR="00E163C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ничество и финансиране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. Други засегнати теми бяха транснационалната стратегия за кръгова икономика в Дунавския регион и планирането на бъдещи дейности.</w:t>
                                                </w:r>
                                              </w:p>
                                              <w:p w:rsidR="00610325" w:rsidRPr="00610325" w:rsidRDefault="00821C75" w:rsidP="00072B44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hyperlink r:id="rId19" w:tgtFrame="_blank" w:history="1">
                                                  <w:r w:rsidR="00072B44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Прочетете повече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22" name="Picture 22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E163C7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» </w:t>
                                                </w:r>
                                                <w:r w:rsidR="00E163C7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ВАшият отпадък е моето богатство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 xml:space="preserve"> « - </w:t>
                                                </w:r>
                                                <w:r w:rsidR="00E163C7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нови примери на добри практики в областта на кръговата икономика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9"/>
                                            <w:gridCol w:w="3894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2480945" cy="2250440"/>
                                                      <wp:effectExtent l="0" t="0" r="0" b="0"/>
                                                      <wp:docPr id="21" name="Picture 21" descr="http://www.interreg-danube.eu/uploads/media/approved_project_public/0001/19/5c136048695ff56386b86e9c5632d905343e2ec6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http://www.interreg-danube.eu/uploads/media/approved_project_public/0001/19/5c136048695ff56386b86e9c5632d905343e2ec6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0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22504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E163C7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Имаме удоволствието</w:t>
                                                </w:r>
                                                <w:r w:rsidR="009F2BB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да ви представим нови примери з</w:t>
                                                </w:r>
                                                <w:r w:rsidR="00E34213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а </w:t>
                                                </w:r>
                                                <w:r w:rsidR="009F2BB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„</w:t>
                                                </w:r>
                                                <w:r w:rsidR="00E34213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добри практики</w:t>
                                                </w:r>
                                                <w:r w:rsidR="009F2BB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“</w:t>
                                                </w:r>
                                                <w:r w:rsidR="00E34213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в областта на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кръговата икономика – в допълнение на нашата брошура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!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610325" w:rsidRDefault="00E34213" w:rsidP="00E34213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Моля</w:t>
                                                </w:r>
                                                <w:hyperlink r:id="rId21" w:tgtFrame="_blank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 xml:space="preserve"> посетете нашия уебсайт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, за да разберете как например оборудването за катерене може да се използва повторно за производство на облекло,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как</w:t>
                                                </w:r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т.н. „кафенета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за ремонт</w:t>
                                                </w:r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“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събират хора да поправят повредени предмети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,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как преместването може да бъде устойчиво, както и много други подобни.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20" name="Picture 20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E163C7" w:rsidP="00E163C7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 xml:space="preserve">Обмен на персонал в рамките на проект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8"/>
                                            <w:gridCol w:w="3895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1224E5E0" wp14:editId="2C937AA6">
                                                      <wp:extent cx="2480945" cy="2440940"/>
                                                      <wp:effectExtent l="0" t="0" r="0" b="0"/>
                                                      <wp:docPr id="19" name="Picture 19" descr="http://www.interreg-danube.eu/uploads/media/approved_project_public/0001/17/52199e75a16bd06c5d7ff278f30229b4552417b6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://www.interreg-danube.eu/uploads/media/approved_project_public/0001/17/52199e75a16bd06c5d7ff278f30229b4552417b6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24409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E34213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Обменът на персонал е вече добре установен и популярен формат за обмяна между различните партньорски организации по проекта</w:t>
                                                </w:r>
                                                <w:r w:rsidR="00F353B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и въ</w:t>
                                                </w:r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зможност за интензивна работа за постигане на</w:t>
                                                </w:r>
                                                <w:r w:rsidR="00F353B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резултатите на проекта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 w:rsidR="00F353B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Тук ви споделяме няколко впечатления от различни обмен</w:t>
                                                </w:r>
                                                <w:r w:rsidR="0054652C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</w:t>
                                                </w:r>
                                                <w:r w:rsidR="00F353B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на персонал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A3108F" w:rsidRDefault="0054652C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През май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Клъстерът за екологични технологии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23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Cluster for Environmental Technology</w:t>
                                                  </w:r>
                                                </w:hyperlink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 Баварския изследователски съюз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24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Bavarian Research </w:t>
                                                  </w:r>
                                                  <w:r w:rsidR="00A3108F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Alliance</w:t>
                                                  </w:r>
                                                  <w:r w:rsidR="00A3108F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 xml:space="preserve">, </w:t>
                                                  </w:r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BayFOR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)</w:t>
                                                  </w:r>
                                                </w:hyperlink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организираха обмен на персонал за партньорите по проект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на изложението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"https://www.ifat.de/index-2.html"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IFAT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Мюнхен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(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</w:t>
                                                </w:r>
                                                <w:r w:rsidR="00A3108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). </w:t>
                                                </w:r>
                                                <w:hyperlink r:id="rId25" w:history="1">
                                                  <w:r w:rsidR="00A3108F" w:rsidRPr="009D430E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18"/>
                                                      <w:szCs w:val="18"/>
                                                      <w:u w:val="none"/>
                                                      <w:lang w:val="bg-BG" w:eastAsia="en-GB"/>
                                                    </w:rPr>
                                                    <w:t>Прочетете повече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9D430E" w:rsidRDefault="00707343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През май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Консорциум Европа (</w:t>
                                                </w:r>
                                                <w:hyperlink r:id="rId26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Europa Consortium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 организира обмен на персонал и международен семинар в Будапеща (Унгария), на които покани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Словашкия университет по селско стопанство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27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Slovak University of Agriculture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 в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Нитра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Министерство на околната среда и пространствено планиране на Словения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28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Ministry of the Environment and Spatial Planning of Slovenia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По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време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на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9D430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„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кръгла</w:t>
                                                </w:r>
                                                <w:proofErr w:type="spellEnd"/>
                                                <w:r w:rsidR="009D430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маса</w:t>
                                                </w:r>
                                                <w:proofErr w:type="spellEnd"/>
                                                <w:r w:rsidR="009D430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“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участниците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в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семинара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обсъдиха</w:t>
                                                </w:r>
                                                <w:proofErr w:type="spellEnd"/>
                                                <w:r w:rsidR="009D430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методологията за изработване на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транснационалната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страт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ег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ия</w:t>
                                                </w:r>
                                                <w:proofErr w:type="spellEnd"/>
                                                <w:r w:rsidR="009D430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и трансграничните пътни карти, които предстоят да бъдат изготвени в рамките на проект</w:t>
                                                </w:r>
                                                <w:r w:rsidR="009D430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9D430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hyperlink r:id="rId29" w:history="1">
                                                  <w:r w:rsidR="009D430E" w:rsidRPr="009D430E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18"/>
                                                      <w:szCs w:val="18"/>
                                                      <w:u w:val="none"/>
                                                      <w:lang w:val="bg-BG" w:eastAsia="en-GB"/>
                                                    </w:rPr>
                                                    <w:t>Научете повече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FA51DB" w:rsidRDefault="009D430E" w:rsidP="00FA51DB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През юни проектните партньори Институт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„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Михайло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Пупин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“</w:t>
                                                </w:r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, Сърбия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30" w:tgtFrame="_blank" w:history="1"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Institut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Mihajlo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Pupin</w:t>
                                                  </w:r>
                                                </w:hyperlink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 Словашката бизнес агенция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31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Slovak Business Agency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посетиха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Баварския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изследователски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съюз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Bavarian Research Alliance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, </w:t>
                                                </w:r>
                                                <w:hyperlink r:id="rId32" w:tgtFrame="_blank" w:history="1"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BayFOR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)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Мюнхен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(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)</w:t>
                                                </w:r>
                                                <w:r w:rsidR="00FA51D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, за да обсъдят разработката на инструментите, стартира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нето на платформата и</w:t>
                                                </w:r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въпроси относно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комуникация</w:t>
                                                </w:r>
                                                <w:r w:rsidR="00091D3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та</w:t>
                                                </w:r>
                                                <w:r w:rsidR="00FA51D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по проекта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hyperlink r:id="rId33" w:tgtFrame="_blank" w:history="1">
                                                  <w:r w:rsidR="00FA51DB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 xml:space="preserve">Научете </w:t>
                                                  </w:r>
                                                  <w:r w:rsidR="00FA51DB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lastRenderedPageBreak/>
                                                    <w:t>повече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18" name="Picture 18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FA51DB" w:rsidRDefault="00FA51DB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пътуваща изложба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9"/>
                                            <w:gridCol w:w="3894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68B7AC2B" wp14:editId="6954CD61">
                                                      <wp:extent cx="2480945" cy="1645920"/>
                                                      <wp:effectExtent l="0" t="0" r="0" b="0"/>
                                                      <wp:docPr id="17" name="Picture 17" descr="http://www.interreg-danube.eu/uploads/media/approved_project_public/0001/19/8b0b50807ddc5525afe53da253d1405f33f0a3e8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://www.interreg-danube.eu/uploads/media/approved_project_public/0001/19/8b0b50807ddc5525afe53da253d1405f33f0a3e8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16459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FA51DB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Пътуващата изложба е почти готова и ще започне през август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!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Ще имате възможност да я посетите в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hyperlink r:id="rId35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Augsburg </w:t>
                                                  </w:r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Innovationspark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Аугсбург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(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)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от 13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август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до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20 септември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преди да отпътува за следващата си спирка в Словения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176E03" w:rsidRDefault="00176E03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Очакваме с нетърпение всички заинтересовани посетители, а тези, които нямат възможност да посетят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Аугсбург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, могат да се информират чрез снимки и кратък доклад, които ще бъдат публикувани онлайн.</w:t>
                                                </w:r>
                                              </w:p>
                                              <w:p w:rsidR="00610325" w:rsidRPr="00176E03" w:rsidRDefault="00821C75" w:rsidP="00176E03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hyperlink r:id="rId36" w:tgtFrame="_blank" w:history="1">
                                                  <w:r w:rsidR="00176E03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Повече информация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16" name="Picture 16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4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176E03" w:rsidP="00176E03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 xml:space="preserve">Информационни материали за 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9"/>
                                            <w:gridCol w:w="3894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480945" cy="1741170"/>
                                                      <wp:effectExtent l="0" t="0" r="0" b="0"/>
                                                      <wp:docPr id="15" name="Picture 15" descr="http://www.interreg-danube.eu/uploads/media/approved_project_public/0001/19/012d5aa1c92624842ba621c52cf8f6d460017c26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5" descr="http://www.interreg-danube.eu/uploads/media/approved_project_public/0001/19/012d5aa1c92624842ba621c52cf8f6d460017c26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174117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176E03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Знаете ли, че брошурата на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"http://www.interreg-danube.eu/approved-projects/moveco/section/best-practice"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»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Вашият отпадък е моето богатство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«,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която представя примери за „добри практики“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областта на кръговата икономика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вече е достъпна на български, английски, немски и румънски език, а скоро предстои да излезе и на словенски език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176E03" w:rsidRDefault="00176E03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Погледнете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hyperlink r:id="rId38" w:tgtFrame="_blank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тук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821C7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hyperlink r:id="rId39" w:tooltip="www.website.com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 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14" name="Picture 14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6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176E03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на изложението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IFAT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8"/>
                                            <w:gridCol w:w="3895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4A856F63" wp14:editId="7C0F15AF">
                                                      <wp:extent cx="2480945" cy="2138680"/>
                                                      <wp:effectExtent l="0" t="0" r="0" b="0"/>
                                                      <wp:docPr id="13" name="Picture 13" descr="http://www.interreg-danube.eu/uploads/media/approved_project_public/0001/17/b54112be9ce5c13dc3cc0af639b9e8ed6019b7a9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7" descr="http://www.interreg-danube.eu/uploads/media/approved_project_public/0001/17/b54112be9ce5c13dc3cc0af639b9e8ed6019b7a9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0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21386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821C7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hyperlink r:id="rId41" w:tgtFrame="_blank" w:history="1"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MOVECO</w:t>
                                                  </w:r>
                                                  <w:proofErr w:type="spellEnd"/>
                                                </w:hyperlink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9F2BB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беше представен на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"https://www.ifat.de/index-2.html"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IFAT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 w:rsidR="009F2BB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водещо световно изложение в областта на управлението на отп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адъци, водни ресурси и суровини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!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610325" w:rsidRDefault="009F2BB1" w:rsidP="00284DDB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Провелото се през май в Мюнхен, Германия, изложение предостави възможност за връзка със заинтересовани страни от цял свят, представяне на проекта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MOV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ECO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и </w:t>
                                                </w:r>
                                                <w:r w:rsidR="00284DDB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популяризиране 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на кръговата икономика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Освен многото други интересни изложители, известни и важни личности от света на кръговата икономика също присъстваха на изложението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hyperlink r:id="rId42" w:tgtFrame="_blank" w:history="1">
                                                  <w:r w:rsidR="00284DDB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Прочетете повече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12" name="Picture 12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8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284DDB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Инструментариум за кръгова икономика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включете се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!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8"/>
                                            <w:gridCol w:w="3895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00F7C6D0" wp14:editId="3C92DAD3">
                                                      <wp:extent cx="2480945" cy="1645920"/>
                                                      <wp:effectExtent l="0" t="0" r="0" b="0"/>
                                                      <wp:docPr id="11" name="Picture 11" descr="http://www.interreg-danube.eu/uploads/media/approved_project_public/0001/19/67027ecc78f1c2e278d355f069cb3e3aec1d3af0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9" descr="http://www.interreg-danube.eu/uploads/media/approved_project_public/0001/19/67027ecc78f1c2e278d355f069cb3e3aec1d3af0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16459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284DDB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момента екипът на проект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"http://www.interreg-danube.eu/approved-projects/moveco/partners"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работи по завършването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на инструментариума за кръгова икономика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hyperlink r:id="rId44" w:tgtFrame="_blank" w:history="1"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MOVECO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Circular Economy Toolbox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Той е проектиран да помогне на компании в техните опити да осъществят кръгова икономика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без значение дали те са начинаещи по отношение на кръговата икономика или вече имат реализирани идеи в тази област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Инструментариумът ще съдържа следните четири модула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: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информационна подкрепа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квалификационна програма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инструменти за сътрудничество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финансови инструменти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Инструментите за информационна подкрепа се състоят от брошурата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hyperlink r:id="rId45" w:tgtFrame="_blank" w:history="1">
                                                  <w:proofErr w:type="spellStart"/>
                                                  <w:r w:rsidR="00317178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MOVECO</w:t>
                                                  </w:r>
                                                  <w:proofErr w:type="spellEnd"/>
                                                </w:hyperlink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и контролен лист за МСП, който им помага да проверят състоянието на компанията по отношение на кръговата икономика и обяснява важни термини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Квалификационната програма предоставя обща информация и работен материал по следните теми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: 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принципи на кръговата икономика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,</w:t>
                                                </w:r>
                                                <w:r w:rsidR="0097560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школи и течения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в кръговата икономика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бизнес умения за „зелени“ предприемачи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законодателство на ЕС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,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насоки за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бизнес модели и</w:t>
                                                </w:r>
                                                <w:r w:rsidR="00317178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нови материали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Те могат да бъдат използвани като самостоятелни модули, в комбинации, или всички заедно, в зависимост от нуждите на целевата група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допълнение инструментариумът предоставя информация относно инструменти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за сътрудничество и финансиран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е, 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включително очерк на финансови опции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информация за публично-частни партньорства и идея за ден на инвеститора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investors day</w:t>
                                                </w:r>
                                                <w:r w:rsidR="00EB171D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 w:rsidR="0097560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 w:rsidR="0097560F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Очаквайте допълнителна информация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!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610325" w:rsidRDefault="0097560F" w:rsidP="0097560F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Ако сте посредник или МСП и бихте искали да изпробвате части от инструментариума, моля </w:t>
                                                </w:r>
                                                <w:hyperlink r:id="rId46" w:history="1">
                                                  <w:r w:rsidRPr="0097560F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свържете се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 нас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Повече информация ще бъде налична скоро на </w:t>
                                                </w:r>
                                                <w:hyperlink r:id="rId47" w:tgtFrame="_blank" w:history="1">
                                                  <w:r w:rsidRPr="0097560F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нашия уебсайт</w:t>
                                                  </w:r>
                                                </w:hyperlink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10" name="Picture 10" descr="http://www.interreg-danube.eu/themes/dtp/email-templates/blue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0" descr="http://www.interreg-danube.eu/themes/dtp/email-templates/blue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97560F" w:rsidRDefault="0097560F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Кратки новини за кръговата икономика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97560F" w:rsidP="006103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Имате ли проект или иновативно решение, предназначено силно да въздейства на кръговата икономика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?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Кандидатствайте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hyperlink r:id="rId49" w:tgtFrame="_blank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тук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за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"http://www.circular-challenge.com/en"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Citeo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Circular Challenge 2018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до 31 август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</w:p>
                                              <w:p w:rsidR="00610325" w:rsidRPr="00610325" w:rsidRDefault="00945037" w:rsidP="006103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Нова информационна бележка „От 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отпадъци към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ресурс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“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“From waste to resources”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беше публикувана от ЕС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hyperlink r:id="rId50" w:tgtFrame="_blank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Научете повече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0E20DD" w:rsidP="006103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През</w:t>
                                                </w:r>
                                                <w:r w:rsidR="00E15C8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юни 2018 г. </w:t>
                                                </w:r>
                                                <w:r w:rsidR="00E15C8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Париж, Франция</w:t>
                                                </w:r>
                                                <w:r w:rsidR="00E15C8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се състоя вторият ф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естивал </w:t>
                                                </w:r>
                                                <w:r w:rsidR="00E15C8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„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Нулев отпадък</w:t>
                                                </w:r>
                                                <w:r w:rsidR="00E15C8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“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Zero Waste Festival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hyperlink r:id="rId51" w:tgtFrame="_blank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Прочетете повече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0E20DD" w:rsidP="006103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През май 2018 г. беше потвърден законодателен пакет за кръгова икономика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 "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Той представлява най-модерното законодателство в света,</w:t>
                                                </w:r>
                                                <w:r w:rsidR="00E15C8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 кое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то ЕС дава водещ пример, който другите да следват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." </w:t>
                                                </w:r>
                                                <w:hyperlink r:id="rId52" w:tgtFrame="_blank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Научете повече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E15C81" w:rsidP="00610325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През май 2018 г. три дунавски страни представиха пътни карти за кръгова икономика на конференция „Кръгова промяна 2018“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Circular Change Conference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hyperlink r:id="rId53" w:tgtFrame="_blank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Научете повече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E15C81" w:rsidP="009E658E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Швеция отвор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 врати първият търговски център, предлагащ единствено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рециклирани стоки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и стоки за повторна употреба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hyperlink r:id="rId54" w:tgtFrame="_blank" w:history="1">
                                                  <w:r w:rsidR="009E658E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Вдъхновете се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9" name="Picture 9" descr="http://www.interreg-danube.eu/themes/dtp/email-templates/blue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1" descr="http://www.interreg-danube.eu/themes/dtp/email-templates/blue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9E658E" w:rsidRDefault="009E658E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събития, Свързани с кръговата икономика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lastRenderedPageBreak/>
                                                  <w:t>17 – 18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юли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Нюрнберг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Интегриране на устойчива енергия (</w:t>
                                                </w:r>
                                                <w:hyperlink r:id="rId55" w:tgtFrame="_blank" w:history="1"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Integration of </w:t>
                                                  </w:r>
                                                  <w:r w:rsidR="009E658E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Sustainable Energy</w:t>
                                                  </w:r>
                                                  <w:r w:rsidR="009E658E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,</w:t>
                                                  </w:r>
                                                  <w:r w:rsidR="009E658E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iSEnEC</w:t>
                                                  </w:r>
                                                  <w:proofErr w:type="spellEnd"/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2018)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13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август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20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септември 2018 г.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proofErr w:type="spellStart"/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Аугсбург</w:t>
                                                </w:r>
                                                <w:proofErr w:type="spellEnd"/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Германия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: 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Изложба „Кръговата икономика в Дунавския регион (“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Exhibition </w:t>
                                                </w:r>
                                                <w:hyperlink r:id="rId56" w:tgtFrame="_blank" w:history="1"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"The circular economy in the Danube region"</w:t>
                                                  </w:r>
                                                </w:hyperlink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12 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–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13 септември 2018 г. –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Бирмингам, Обединено кралство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Изложение „Рециклиране и управление на отпадъци“ (</w:t>
                                                </w:r>
                                                <w:hyperlink r:id="rId57" w:tgtFrame="_blank" w:history="1"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RWM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2017 – Recycling &amp; Waste Management Exhibition</w:t>
                                                  </w:r>
                                                </w:hyperlink>
                                                <w:r w:rsidR="009E658E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12 – 14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септември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Дорнбирн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Австрия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proofErr w:type="spellStart"/>
                                                <w:r w:rsidR="00821C75">
                                                  <w:fldChar w:fldCharType="begin"/>
                                                </w:r>
                                                <w:r w:rsidR="00821C75">
                                                  <w:instrText xml:space="preserve"> HYPERLINK "http://www.dornbirn-gfc.com/en/dornbirn-gfc-2018/" \t "_blank" </w:instrText>
                                                </w:r>
                                                <w:r w:rsidR="00821C75"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DORNBIRN-GFC</w:t>
                                                </w:r>
                                                <w:proofErr w:type="spellEnd"/>
                                                <w:r w:rsidR="00821C7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13 – 15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септември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Люнебург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hyperlink r:id="rId58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Cradle to Cradle Congress 2018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20 септември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Виена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Австрия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Конференция „Кръгова икономика в ЕС“ (</w:t>
                                                </w:r>
                                                <w:hyperlink r:id="rId59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EU Circular Economy Conference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1 – 2</w:t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октомври 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Виена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Австрия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„От отпадък към енергия“ (</w:t>
                                                </w:r>
                                                <w:hyperlink r:id="rId60" w:tgtFrame="_blank" w:history="1"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IRRC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– Waste-to-Energy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17 – 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октомври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Карлсруе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Седми конгрес за ресурсна ефективност и кръгова икономика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Баден-Вюртемберг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(</w:t>
                                                </w:r>
                                                <w:hyperlink r:id="rId61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7. </w:t>
                                                  </w:r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Ressourceneffizienz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- und </w:t>
                                                  </w:r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Kreislaufwirtschaftskongress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Baden-Württemberg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22 – 24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октомври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Токио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Япония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Световен форум за кръгова икономика (</w:t>
                                                </w:r>
                                                <w:hyperlink r:id="rId62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World Circular Economy Forum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7E14FD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6 – 9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ноември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Римини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Италия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„Зелена и кръгова икономика“ (</w:t>
                                                </w:r>
                                                <w:hyperlink r:id="rId63" w:tgtFrame="_blank" w:history="1">
                                                  <w:proofErr w:type="spellStart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ECOMONDO</w:t>
                                                  </w:r>
                                                  <w:proofErr w:type="spellEnd"/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 xml:space="preserve"> - Green &amp; Circular Economy</w:t>
                                                  </w:r>
                                                </w:hyperlink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001E71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6 – 7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ноември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Кьолн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Германия: 27-ми Ден на отпадъците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(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27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.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"https://www.koelnerabfalltage2018.de/"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Köl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n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er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Abfalltage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610325" w:rsidRDefault="00001E71" w:rsidP="00610325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10" w:lineRule="atLeast"/>
                                                  <w:ind w:left="0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7 – 9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ноември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г.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–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Леобен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Австрия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begin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instrText xml:space="preserve"> HYPERLINK "http://www.recydepotech.at/en/" \t "_blank" </w:instrTex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Recy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&amp; </w:t>
                                                </w:r>
                                                <w:proofErr w:type="spellStart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DepoTech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 xml:space="preserve"> 2018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  <w:p w:rsidR="00610325" w:rsidRPr="00610325" w:rsidRDefault="00D12437" w:rsidP="00001E71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Наш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я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 уебсайт постоянно публикува предстоящи събития, свързани с кръговата икономика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hyperlink r:id="rId64" w:tgtFrame="_blank" w:history="1">
                                                  <w:r w:rsidR="00001E71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Повече информация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0"/>
                                            <w:gridCol w:w="600"/>
                                            <w:gridCol w:w="3900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8" name="Picture 8" descr="http://www.interreg-danube.eu/themes/dtp/email-templates/blue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http://www.interreg-danube.eu/themes/dtp/email-templates/blue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001E71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Включете се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!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BA6535" w:rsidP="00BA653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Приветстване ви да се </w:t>
                                                </w:r>
                                                <w:hyperlink r:id="rId65" w:history="1">
                                                  <w:r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val="bg-BG" w:eastAsia="en-GB"/>
                                                    </w:rPr>
                                                    <w:t>свържете с нас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64194"/>
                                                    <w:sz w:val="18"/>
                                                    <w:szCs w:val="18"/>
                                                    <w:bdr w:val="none" w:sz="0" w:space="0" w:color="auto" w:frame="1"/>
                                                    <w:lang w:val="bg-BG" w:eastAsia="en-GB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а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ко искате да узнаете повече за кръговата иконом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ика в Дунавския регион, да научи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те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примери за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„добри практики“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,</w:t>
                                                </w:r>
                                                <w:r w:rsidR="00001E71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да споделите своя принос или да зададете въпрос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.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Също така очакваме вашите коментари, обратна връзка,</w:t>
                                                </w:r>
                                                <w:r w:rsidR="00D12437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както и споделени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линкове и снимки в профилите ни в социалните медии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77777A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  <w:gridCol w:w="8175"/>
                                          </w:tblGrid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c>
                                              <w:tcPr>
                                                <w:tcW w:w="2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27000" cy="174625"/>
                                                      <wp:effectExtent l="0" t="0" r="6350" b="0"/>
                                                      <wp:docPr id="7" name="Picture 7" descr="http://www.interreg-danube.eu/themes/dtp/email-templates/green.jpg?v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http://www.interreg-danube.eu/themes/dtp/email-templates/green.jpg?v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27000" cy="174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1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BA6535" w:rsidRDefault="00BA6535" w:rsidP="00610325">
                                                <w:pPr>
                                                  <w:spacing w:after="0" w:line="360" w:lineRule="atLeast"/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77777A"/>
                                                    <w:sz w:val="24"/>
                                                    <w:szCs w:val="24"/>
                                                    <w:lang w:val="bg-BG" w:eastAsia="en-GB"/>
                                                  </w:rPr>
                                                  <w:t>Контакти</w:t>
                                                </w:r>
                                              </w:p>
                                            </w:tc>
                                          </w:tr>
                                          <w:tr w:rsidR="00610325" w:rsidRPr="00610325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30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sz w:val="30"/>
                                                    <w:szCs w:val="30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84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7"/>
                                            <w:gridCol w:w="598"/>
                                            <w:gridCol w:w="3895"/>
                                          </w:tblGrid>
                                          <w:tr w:rsidR="00610325" w:rsidRPr="00610325"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7A467AEE" wp14:editId="7CE6EC07">
                                                      <wp:extent cx="2480945" cy="954405"/>
                                                      <wp:effectExtent l="0" t="0" r="0" b="0"/>
                                                      <wp:docPr id="6" name="Picture 6" descr="http://www.interreg-danube.eu/uploads/media/approved_project_public/0001/08/dce09526816226acb5716336105854025f13786d.jpe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http://www.interreg-danube.eu/uploads/media/approved_project_public/0001/08/dce09526816226acb5716336105854025f13786d.jpe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0945" cy="95440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610325" w:rsidRDefault="00610325" w:rsidP="0061032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610325" w:rsidRPr="00BA6535" w:rsidRDefault="00BA653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Montserrat-Bold" w:eastAsia="Times New Roman" w:hAnsi="Montserrat-Bold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Координатор на проекта</w:t>
                                                </w:r>
                                              </w:p>
                                              <w:p w:rsidR="00610325" w:rsidRPr="00BA6535" w:rsidRDefault="00BA653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Търговско-промишлена палата на Словения (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shd w:val="clear" w:color="auto" w:fill="FFFFFF"/>
                                                  </w:rPr>
                                                  <w:t>Chamber of Commerce and Industry of Slovenia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BA653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Dimičeva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13, SI-1504 </w:t>
                                                </w:r>
                                                <w:r w:rsidR="00BA653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Любляна</w:t>
                                                </w:r>
                                                <w:r w:rsidR="00BA653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 w:rsidR="00BA653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Словения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Ms. Grit Ackermann: </w:t>
                                                </w:r>
                                                <w:hyperlink r:id="rId67" w:history="1"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grit.ackermann@gzs.si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BA6535" w:rsidRDefault="00BA653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Montserrat-Bold" w:eastAsia="Times New Roman" w:hAnsi="Montserrat-Bold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Комуникационна служба</w:t>
                                                </w:r>
                                              </w:p>
                                              <w:p w:rsidR="00610325" w:rsidRPr="00BA6535" w:rsidRDefault="00BA653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Баварски изследователски съюз (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Bavarian Research Alliance GmbH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610325" w:rsidRPr="00BA653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</w:pPr>
                                                <w:proofErr w:type="spellStart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Prinzregentenstraße</w:t>
                                                </w:r>
                                                <w:proofErr w:type="spellEnd"/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52, D-80538 </w:t>
                                                </w:r>
                                                <w:r w:rsidR="00BA653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Мюнхен</w:t>
                                                </w:r>
                                                <w:r w:rsidR="00BA653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r w:rsidR="00BA653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Германия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Ms. Rosina Lohmeyer: </w:t>
                                                </w:r>
                                                <w:hyperlink r:id="rId68" w:history="1">
                                                  <w:r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lohmeyer@bayfor.org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610325" w:rsidRDefault="00BA653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Уебсайт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hyperlink r:id="rId69" w:tgtFrame="_blank" w:history="1">
                                                  <w:r w:rsidR="00610325" w:rsidRPr="00610325">
                                                    <w:rPr>
                                                      <w:rFonts w:ascii="Arial" w:eastAsia="Times New Roman" w:hAnsi="Arial" w:cs="Arial"/>
                                                      <w:color w:val="164194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lang w:eastAsia="en-GB"/>
                                                    </w:rPr>
                                                    <w:t>www.interreg-danube.eu/moveco</w:t>
                                                  </w:r>
                                                </w:hyperlink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610325" w:rsidRDefault="00BA653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Последвайте проект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MOVECO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в социалните медии</w:t>
                                                </w:r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:</w:t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Montserrat-Regular" w:eastAsia="Times New Roman" w:hAnsi="Montserrat-Regular" w:cs="Arial"/>
                                                    <w:noProof/>
                                                    <w:color w:val="4495C9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41F9B437" wp14:editId="23837C92">
                                                      <wp:extent cx="286385" cy="286385"/>
                                                      <wp:effectExtent l="0" t="0" r="0" b="0"/>
                                                      <wp:docPr id="5" name="Picture 5" descr="http://www.interreg-danube.eu/uploads/media/approved_project_public/0001/08/33c1d6801c793da21f75a843f49cea3c72136aa4.png">
                                                        <a:hlinkClick xmlns:a="http://schemas.openxmlformats.org/drawingml/2006/main" r:id="rId70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" descr="http://www.interreg-danube.eu/uploads/media/approved_project_public/0001/08/33c1d6801c793da21f75a843f49cea3c72136aa4.png">
                                                                <a:hlinkClick r:id="rId70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6385" cy="2863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Montserrat-Regular" w:eastAsia="Times New Roman" w:hAnsi="Montserrat-Regular" w:cs="Arial"/>
                                                    <w:noProof/>
                                                    <w:color w:val="4495C9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064EB7AC" wp14:editId="14E8F1AB">
                                                      <wp:extent cx="349885" cy="286385"/>
                                                      <wp:effectExtent l="0" t="0" r="0" b="0"/>
                                                      <wp:docPr id="4" name="Picture 4" descr="http://www.interreg-danube.eu/uploads/media/approved_project_public/0001/08/96487d56e066b991ad3be8af547769fb50c3026e.jpeg">
                                                        <a:hlinkClick xmlns:a="http://schemas.openxmlformats.org/drawingml/2006/main" r:id="rId72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" descr="http://www.interreg-danube.eu/uploads/media/approved_project_public/0001/08/96487d56e066b991ad3be8af547769fb50c3026e.jpeg">
                                                                <a:hlinkClick r:id="rId72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9885" cy="2863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Montserrat-Regular" w:eastAsia="Times New Roman" w:hAnsi="Montserrat-Regular" w:cs="Arial"/>
                                                    <w:noProof/>
                                                    <w:color w:val="4495C9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478BD8BB" wp14:editId="5B064CD5">
                                                      <wp:extent cx="286385" cy="286385"/>
                                                      <wp:effectExtent l="0" t="0" r="0" b="0"/>
                                                      <wp:docPr id="3" name="Picture 3" descr="http://www.interreg-danube.eu/uploads/media/approved_project_public/0001/08/4419e0db44f9d3311e7dce33acf42246a5c14b1b.jpeg">
                                                        <a:hlinkClick xmlns:a="http://schemas.openxmlformats.org/drawingml/2006/main" r:id="rId74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7" descr="http://www.interreg-danube.eu/uploads/media/approved_project_public/0001/08/4419e0db44f9d3311e7dce33acf42246a5c14b1b.jpeg">
                                                                <a:hlinkClick r:id="rId74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6385" cy="2863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  <w:p w:rsidR="00610325" w:rsidRPr="00610325" w:rsidRDefault="0061032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610325" w:rsidRPr="00610325" w:rsidRDefault="00BA6535" w:rsidP="00610325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Проект,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съфинансиран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 xml:space="preserve"> с фондове на ЕС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 (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ЕФРР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val="bg-BG" w:eastAsia="en-GB"/>
                                                  </w:rPr>
                                                  <w:t>ИПП</w:t>
                                                </w:r>
                                                <w:proofErr w:type="spellEnd"/>
                                                <w:r w:rsidR="00610325" w:rsidRPr="00610325">
                                                  <w:rPr>
                                                    <w:rFonts w:ascii="Arial" w:eastAsia="Times New Roman" w:hAnsi="Arial" w:cs="Arial"/>
                                                    <w:color w:val="77777A"/>
                                                    <w:sz w:val="18"/>
                                                    <w:szCs w:val="18"/>
                                                    <w:lang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300" w:lineRule="atLeast"/>
                                      <w:rPr>
                                        <w:rFonts w:ascii="Arial" w:eastAsia="Times New Roman" w:hAnsi="Arial" w:cs="Arial"/>
                                        <w:sz w:val="30"/>
                                        <w:szCs w:val="30"/>
                                        <w:lang w:eastAsia="en-GB"/>
                                      </w:rPr>
                                    </w:pPr>
                                    <w:r w:rsidRPr="00610325">
                                      <w:rPr>
                                        <w:rFonts w:ascii="Arial" w:eastAsia="Times New Roman" w:hAnsi="Arial" w:cs="Arial"/>
                                        <w:sz w:val="30"/>
                                        <w:szCs w:val="30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610325" w:rsidRPr="00610325" w:rsidRDefault="00610325" w:rsidP="0061032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61032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10325" w:rsidRPr="00610325" w:rsidRDefault="00610325" w:rsidP="006103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610325" w:rsidRPr="00610325">
                          <w:tc>
                            <w:tcPr>
                              <w:tcW w:w="9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6F6F6"/>
                              <w:hideMark/>
                            </w:tcPr>
                            <w:tbl>
                              <w:tblPr>
                                <w:tblW w:w="9000" w:type="dxa"/>
                                <w:shd w:val="clear" w:color="auto" w:fill="F4F4F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0"/>
                                <w:gridCol w:w="8690"/>
                              </w:tblGrid>
                              <w:tr w:rsidR="00610325" w:rsidRPr="00610325">
                                <w:tc>
                                  <w:tcPr>
                                    <w:tcW w:w="3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4F4F4"/>
                                    <w:hideMark/>
                                  </w:tcPr>
                                  <w:p w:rsidR="00610325" w:rsidRPr="00610325" w:rsidRDefault="00610325" w:rsidP="0061032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61032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4F4F4"/>
                                    <w:hideMark/>
                                  </w:tcPr>
                                  <w:p w:rsidR="00610325" w:rsidRPr="00610325" w:rsidRDefault="00610325" w:rsidP="00610325">
                                    <w:pPr>
                                      <w:spacing w:after="0" w:line="450" w:lineRule="atLeast"/>
                                      <w:rPr>
                                        <w:rFonts w:ascii="Arial" w:eastAsia="Times New Roman" w:hAnsi="Arial" w:cs="Arial"/>
                                        <w:sz w:val="45"/>
                                        <w:szCs w:val="45"/>
                                        <w:lang w:eastAsia="en-GB"/>
                                      </w:rPr>
                                    </w:pPr>
                                    <w:r w:rsidRPr="00610325">
                                      <w:rPr>
                                        <w:rFonts w:ascii="Arial" w:eastAsia="Times New Roman" w:hAnsi="Arial" w:cs="Arial"/>
                                        <w:sz w:val="45"/>
                                        <w:szCs w:val="4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8400" w:type="dxa"/>
                                      <w:shd w:val="clear" w:color="auto" w:fill="F4F4F4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91"/>
                                      <w:gridCol w:w="5109"/>
                                    </w:tblGrid>
                                    <w:tr w:rsidR="00610325" w:rsidRPr="00610325">
                                      <w:tc>
                                        <w:tcPr>
                                          <w:tcW w:w="33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F4F4"/>
                                          <w:hideMark/>
                                        </w:tcPr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1900555" cy="492760"/>
                                                <wp:effectExtent l="0" t="0" r="4445" b="2540"/>
                                                <wp:docPr id="2" name="Picture 2" descr="http://www.interreg-danube.eu/themes/dtp/email-templates/footer-logo_1026.jpg?v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://www.interreg-danube.eu/themes/dtp/email-templates/footer-logo_1026.jpg?v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0555" cy="4927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1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F4F4"/>
                                          <w:hideMark/>
                                        </w:tcPr>
                                        <w:p w:rsidR="00610325" w:rsidRPr="00610325" w:rsidRDefault="00610325" w:rsidP="0061032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Montserrat-Regular" w:eastAsia="Times New Roman" w:hAnsi="Montserrat-Regular" w:cs="Times New Roman"/>
                                              <w:noProof/>
                                              <w:color w:val="4495C9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>
                                                <wp:extent cx="3244215" cy="207010"/>
                                                <wp:effectExtent l="0" t="0" r="0" b="2540"/>
                                                <wp:docPr id="1" name="Picture 1" descr="http://www.interreg-danube.eu/themes/dtp/email-templates/footer-line.jpg?v6">
                                                  <a:hlinkClick xmlns:a="http://schemas.openxmlformats.org/drawingml/2006/main" r:id="rId77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://www.interreg-danube.eu/themes/dtp/email-templates/footer-line.jpg?v6">
                                                          <a:hlinkClick r:id="rId77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244215" cy="2070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610325" w:rsidRPr="00610325" w:rsidRDefault="00C41B53" w:rsidP="00C41B53">
                                          <w:pPr>
                                            <w:spacing w:after="0" w:line="165" w:lineRule="atLeast"/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Montserrat-Bold" w:eastAsia="Times New Roman" w:hAnsi="Montserrat-Bold" w:cs="Arial"/>
                                              <w:color w:val="77777A"/>
                                              <w:sz w:val="14"/>
                                              <w:szCs w:val="14"/>
                                              <w:lang w:val="bg-BG" w:eastAsia="en-GB"/>
                                            </w:rPr>
                                            <w:t>Управляващ орган</w:t>
                                          </w:r>
                                          <w:r>
                                            <w:rPr>
                                              <w:rFonts w:ascii="Montserrat-Bold" w:eastAsia="Times New Roman" w:hAnsi="Montserrat-Bold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 xml:space="preserve"> |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Montserrat-Bold" w:eastAsia="Times New Roman" w:hAnsi="Montserrat-Bold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Съвместен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Montserrat-Bold" w:eastAsia="Times New Roman" w:hAnsi="Montserrat-Bold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Montserrat-Bold" w:eastAsia="Times New Roman" w:hAnsi="Montserrat-Bold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секретариат</w:t>
                                          </w:r>
                                          <w:proofErr w:type="spellEnd"/>
                                          <w:r w:rsidR="00610325" w:rsidRPr="00610325">
                                            <w:rPr>
                                              <w:rFonts w:ascii="Montserrat-Bold" w:eastAsia="Times New Roman" w:hAnsi="Montserrat-Bold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 </w:t>
                                          </w:r>
                                          <w:r w:rsidR="00610325" w:rsidRPr="00610325"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="00610325" w:rsidRPr="00610325"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Honvéd</w:t>
                                          </w:r>
                                          <w:proofErr w:type="spellEnd"/>
                                          <w:r w:rsidR="00610325" w:rsidRPr="00610325"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610325" w:rsidRPr="00610325"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utca</w:t>
                                          </w:r>
                                          <w:proofErr w:type="spellEnd"/>
                                          <w:r w:rsidR="00610325" w:rsidRPr="00610325"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 xml:space="preserve"> 13-15 – 1055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val="bg-BG" w:eastAsia="en-GB"/>
                                            </w:rPr>
                                            <w:t>Будапеща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val="bg-BG" w:eastAsia="en-GB"/>
                                            </w:rPr>
                                            <w:t>Унгария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val="bg-BG" w:eastAsia="en-GB"/>
                                            </w:rPr>
                                            <w:t>Ел. поща</w:t>
                                          </w:r>
                                          <w:r w:rsidR="00610325" w:rsidRPr="00610325"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: </w:t>
                                          </w:r>
                                          <w:hyperlink r:id="rId79" w:tooltip="danube@interreg-danube.eu" w:history="1">
                                            <w:r w:rsidR="00610325" w:rsidRPr="00610325">
                                              <w:rPr>
                                                <w:rFonts w:ascii="Arial" w:eastAsia="Times New Roman" w:hAnsi="Arial" w:cs="Arial"/>
                                                <w:color w:val="77777A"/>
                                                <w:sz w:val="14"/>
                                                <w:szCs w:val="14"/>
                                                <w:bdr w:val="none" w:sz="0" w:space="0" w:color="auto" w:frame="1"/>
                                                <w:lang w:eastAsia="en-GB"/>
                                              </w:rPr>
                                              <w:t>danube@interreg-danube.eu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 |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val="bg-BG" w:eastAsia="en-GB"/>
                                            </w:rPr>
                                            <w:t>Уебсайт</w:t>
                                          </w:r>
                                          <w:r w:rsidR="00610325" w:rsidRPr="00610325">
                                            <w:rPr>
                                              <w:rFonts w:ascii="Arial" w:eastAsia="Times New Roman" w:hAnsi="Arial" w:cs="Arial"/>
                                              <w:color w:val="77777A"/>
                                              <w:sz w:val="14"/>
                                              <w:szCs w:val="14"/>
                                              <w:lang w:eastAsia="en-GB"/>
                                            </w:rPr>
                                            <w:t>: </w:t>
                                          </w:r>
                                          <w:hyperlink r:id="rId80" w:tgtFrame="_blank" w:tooltip="www.interreg-danube.eu" w:history="1">
                                            <w:r w:rsidR="00610325" w:rsidRPr="00610325">
                                              <w:rPr>
                                                <w:rFonts w:ascii="Arial" w:eastAsia="Times New Roman" w:hAnsi="Arial" w:cs="Arial"/>
                                                <w:color w:val="77777A"/>
                                                <w:sz w:val="14"/>
                                                <w:szCs w:val="14"/>
                                                <w:bdr w:val="none" w:sz="0" w:space="0" w:color="auto" w:frame="1"/>
                                                <w:lang w:eastAsia="en-GB"/>
                                              </w:rPr>
                                              <w:t>www.interreg-danube.eu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610325" w:rsidRPr="00610325" w:rsidRDefault="00610325" w:rsidP="00610325">
                                    <w:pPr>
                                      <w:spacing w:after="0" w:line="450" w:lineRule="atLeast"/>
                                      <w:rPr>
                                        <w:rFonts w:ascii="Arial" w:eastAsia="Times New Roman" w:hAnsi="Arial" w:cs="Arial"/>
                                        <w:sz w:val="45"/>
                                        <w:szCs w:val="45"/>
                                        <w:lang w:eastAsia="en-GB"/>
                                      </w:rPr>
                                    </w:pPr>
                                    <w:r w:rsidRPr="00610325">
                                      <w:rPr>
                                        <w:rFonts w:ascii="Arial" w:eastAsia="Times New Roman" w:hAnsi="Arial" w:cs="Arial"/>
                                        <w:sz w:val="45"/>
                                        <w:szCs w:val="4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10325" w:rsidRPr="00610325" w:rsidRDefault="00610325" w:rsidP="006103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610325" w:rsidRPr="00610325" w:rsidRDefault="00610325" w:rsidP="006103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10325" w:rsidRPr="00610325" w:rsidRDefault="00610325" w:rsidP="00610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GB"/>
                    </w:rPr>
                  </w:pPr>
                </w:p>
              </w:tc>
            </w:tr>
          </w:tbl>
          <w:p w:rsidR="00610325" w:rsidRPr="00610325" w:rsidRDefault="00610325" w:rsidP="0061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GB"/>
              </w:rPr>
            </w:pPr>
          </w:p>
        </w:tc>
      </w:tr>
    </w:tbl>
    <w:p w:rsidR="00DF160D" w:rsidRPr="00C41B53" w:rsidRDefault="00DF160D">
      <w:pPr>
        <w:rPr>
          <w:lang w:val="bg-BG"/>
        </w:rPr>
      </w:pPr>
    </w:p>
    <w:sectPr w:rsidR="00DF160D" w:rsidRPr="00C41B53" w:rsidSect="00980C7E">
      <w:type w:val="continuous"/>
      <w:pgSz w:w="11910" w:h="16840" w:code="9"/>
      <w:pgMar w:top="1418" w:right="1134" w:bottom="1418" w:left="1134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75" w:rsidRDefault="00821C75" w:rsidP="00610325">
      <w:pPr>
        <w:spacing w:after="0" w:line="240" w:lineRule="auto"/>
      </w:pPr>
      <w:r>
        <w:separator/>
      </w:r>
    </w:p>
  </w:endnote>
  <w:endnote w:type="continuationSeparator" w:id="0">
    <w:p w:rsidR="00821C75" w:rsidRDefault="00821C75" w:rsidP="0061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75" w:rsidRDefault="00821C75" w:rsidP="00610325">
      <w:pPr>
        <w:spacing w:after="0" w:line="240" w:lineRule="auto"/>
      </w:pPr>
      <w:r>
        <w:separator/>
      </w:r>
    </w:p>
  </w:footnote>
  <w:footnote w:type="continuationSeparator" w:id="0">
    <w:p w:rsidR="00821C75" w:rsidRDefault="00821C75" w:rsidP="0061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148"/>
    <w:multiLevelType w:val="multilevel"/>
    <w:tmpl w:val="A09E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109B2"/>
    <w:multiLevelType w:val="multilevel"/>
    <w:tmpl w:val="493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25"/>
    <w:rsid w:val="00001E71"/>
    <w:rsid w:val="000552A6"/>
    <w:rsid w:val="00072B44"/>
    <w:rsid w:val="00091D3B"/>
    <w:rsid w:val="000E20DD"/>
    <w:rsid w:val="00176E03"/>
    <w:rsid w:val="00284DDB"/>
    <w:rsid w:val="002D74B0"/>
    <w:rsid w:val="00310709"/>
    <w:rsid w:val="00317178"/>
    <w:rsid w:val="003D06D3"/>
    <w:rsid w:val="00414C23"/>
    <w:rsid w:val="0054652C"/>
    <w:rsid w:val="00610325"/>
    <w:rsid w:val="00707343"/>
    <w:rsid w:val="00716A3A"/>
    <w:rsid w:val="007E14FD"/>
    <w:rsid w:val="00821C75"/>
    <w:rsid w:val="008758A6"/>
    <w:rsid w:val="00945037"/>
    <w:rsid w:val="0097560F"/>
    <w:rsid w:val="00980C7E"/>
    <w:rsid w:val="009D430E"/>
    <w:rsid w:val="009E658E"/>
    <w:rsid w:val="009F2BB1"/>
    <w:rsid w:val="00A3108F"/>
    <w:rsid w:val="00BA6535"/>
    <w:rsid w:val="00C404C9"/>
    <w:rsid w:val="00C41B53"/>
    <w:rsid w:val="00D12437"/>
    <w:rsid w:val="00DF160D"/>
    <w:rsid w:val="00E15C81"/>
    <w:rsid w:val="00E163C7"/>
    <w:rsid w:val="00E34213"/>
    <w:rsid w:val="00EB171D"/>
    <w:rsid w:val="00F353B5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0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6103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1032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61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03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073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0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6103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1032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61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03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07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uropaconsortium.eu/" TargetMode="External"/><Relationship Id="rId21" Type="http://schemas.openxmlformats.org/officeDocument/2006/relationships/hyperlink" Target="http://www.interreg-danube.eu/approved-projects/moveco/section/best-practice" TargetMode="External"/><Relationship Id="rId42" Type="http://schemas.openxmlformats.org/officeDocument/2006/relationships/hyperlink" Target="http://www.interreg-danube.eu/news-and-events/project-news/2165" TargetMode="External"/><Relationship Id="rId47" Type="http://schemas.openxmlformats.org/officeDocument/2006/relationships/hyperlink" Target="http://www.interreg-danube.eu/approved-projects/moveco/section/circular-toolbox" TargetMode="External"/><Relationship Id="rId63" Type="http://schemas.openxmlformats.org/officeDocument/2006/relationships/hyperlink" Target="https://en.ecomondo.com/" TargetMode="External"/><Relationship Id="rId68" Type="http://schemas.openxmlformats.org/officeDocument/2006/relationships/hyperlink" Target="mailto:lohmeyer@bayfor.org" TargetMode="External"/><Relationship Id="rId16" Type="http://schemas.openxmlformats.org/officeDocument/2006/relationships/hyperlink" Target="http://danube-goes-circular.eu/" TargetMode="External"/><Relationship Id="rId11" Type="http://schemas.openxmlformats.org/officeDocument/2006/relationships/hyperlink" Target="http://www.interreg-danube.eu/moveco" TargetMode="External"/><Relationship Id="rId32" Type="http://schemas.openxmlformats.org/officeDocument/2006/relationships/hyperlink" Target="https://www.bayfor.org/index_en.php" TargetMode="External"/><Relationship Id="rId37" Type="http://schemas.openxmlformats.org/officeDocument/2006/relationships/image" Target="media/image10.png"/><Relationship Id="rId53" Type="http://schemas.openxmlformats.org/officeDocument/2006/relationships/hyperlink" Target="https://twitter.com/friedlh/status/994891011108360193" TargetMode="External"/><Relationship Id="rId58" Type="http://schemas.openxmlformats.org/officeDocument/2006/relationships/hyperlink" Target="http://c2c-kongress.de/de/" TargetMode="External"/><Relationship Id="rId74" Type="http://schemas.openxmlformats.org/officeDocument/2006/relationships/hyperlink" Target="https://www.linkedin.com/groups/12052413" TargetMode="External"/><Relationship Id="rId79" Type="http://schemas.openxmlformats.org/officeDocument/2006/relationships/hyperlink" Target="mailto:danube@interreg-danube.e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ressourceneffizienzkongress.de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interreg-danube.eu/news-and-events/project-news/2376" TargetMode="External"/><Relationship Id="rId14" Type="http://schemas.openxmlformats.org/officeDocument/2006/relationships/hyperlink" Target="http://danube-goes-circular.eu/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uniag.sk/en/" TargetMode="External"/><Relationship Id="rId30" Type="http://schemas.openxmlformats.org/officeDocument/2006/relationships/hyperlink" Target="http://www.pupin.rs/en/" TargetMode="External"/><Relationship Id="rId35" Type="http://schemas.openxmlformats.org/officeDocument/2006/relationships/hyperlink" Target="https://www.augsburg-innovationspark.com/en/" TargetMode="External"/><Relationship Id="rId43" Type="http://schemas.openxmlformats.org/officeDocument/2006/relationships/image" Target="media/image12.jpeg"/><Relationship Id="rId48" Type="http://schemas.openxmlformats.org/officeDocument/2006/relationships/image" Target="media/image13.jpeg"/><Relationship Id="rId56" Type="http://schemas.openxmlformats.org/officeDocument/2006/relationships/hyperlink" Target="http://www.interreg-danube.eu/news-and-events/project-news/2476" TargetMode="External"/><Relationship Id="rId64" Type="http://schemas.openxmlformats.org/officeDocument/2006/relationships/hyperlink" Target="http://www.interreg-danube.eu/approved-projects/moveco/section/circular-economy" TargetMode="External"/><Relationship Id="rId69" Type="http://schemas.openxmlformats.org/officeDocument/2006/relationships/hyperlink" Target="http://Project%20Coordinator%20Chamber%20of%20Commerce%20and%20Industry%20of%20Slovenia%20Dimi%C4%8Deva%2013,%20SI-1504%20Ljubljana,%20Slovenia%20Ms.%20Grit%20Ackermann:%20grit.ackermann%40gzs.si%20Communication%20Office%20Bavarian%20Research%20Alliance%20GmbH%20Prinzregentenstra%C3%9Fe%2052,%20D-80538%20Munich,%20Germany%20Ms.%20Rosina%20Lohmeyer%3A%20lohmeyer@bayfor.org/" TargetMode="External"/><Relationship Id="rId77" Type="http://schemas.openxmlformats.org/officeDocument/2006/relationships/hyperlink" Target="http://interreg-danube.e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zerowasteeurope.eu/2018/07/the-zero-waste-festival-grows-bigger-and-stronger/" TargetMode="External"/><Relationship Id="rId72" Type="http://schemas.openxmlformats.org/officeDocument/2006/relationships/hyperlink" Target="https://twitter.com/MOVECO_Interreg" TargetMode="External"/><Relationship Id="rId80" Type="http://schemas.openxmlformats.org/officeDocument/2006/relationships/hyperlink" Target="http://www.interreg-danube.e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://www.interreg-danube.eu/news-and-events/project-news/2165" TargetMode="External"/><Relationship Id="rId33" Type="http://schemas.openxmlformats.org/officeDocument/2006/relationships/hyperlink" Target="http://www.interreg-danube.eu/news-and-events/project-news/2376" TargetMode="External"/><Relationship Id="rId38" Type="http://schemas.openxmlformats.org/officeDocument/2006/relationships/hyperlink" Target="http://www.interreg-danube.eu/approved-projects/moveco/section/best-practice" TargetMode="External"/><Relationship Id="rId46" Type="http://schemas.openxmlformats.org/officeDocument/2006/relationships/hyperlink" Target="mailto:moveco@bayfor.org" TargetMode="External"/><Relationship Id="rId59" Type="http://schemas.openxmlformats.org/officeDocument/2006/relationships/hyperlink" Target="http://www.cec4europe.eu/news-events/detail/show/eu-abfalltagung-2018/" TargetMode="External"/><Relationship Id="rId67" Type="http://schemas.openxmlformats.org/officeDocument/2006/relationships/hyperlink" Target="mailto:grit.ackermann@gzs.si" TargetMode="External"/><Relationship Id="rId20" Type="http://schemas.openxmlformats.org/officeDocument/2006/relationships/image" Target="media/image7.jpeg"/><Relationship Id="rId41" Type="http://schemas.openxmlformats.org/officeDocument/2006/relationships/hyperlink" Target="http://www.interreg-danube.eu/approved-projects/moveco" TargetMode="External"/><Relationship Id="rId54" Type="http://schemas.openxmlformats.org/officeDocument/2006/relationships/hyperlink" Target="https://www.youtube.com/watch?v=id9I9o6yxC8" TargetMode="External"/><Relationship Id="rId62" Type="http://schemas.openxmlformats.org/officeDocument/2006/relationships/hyperlink" Target="https://www.sitra.fi/en/events/world-circular-economy-forum-2018-programme/" TargetMode="External"/><Relationship Id="rId70" Type="http://schemas.openxmlformats.org/officeDocument/2006/relationships/hyperlink" Target="https://www.facebook.com/Moveco.Danube/" TargetMode="External"/><Relationship Id="rId75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nterreg-danube.eu/news-and-events/project-news/2469" TargetMode="External"/><Relationship Id="rId23" Type="http://schemas.openxmlformats.org/officeDocument/2006/relationships/hyperlink" Target="https://www.umweltcluster.net/en/" TargetMode="External"/><Relationship Id="rId28" Type="http://schemas.openxmlformats.org/officeDocument/2006/relationships/hyperlink" Target="http://www.vlada.si/en/about_the_government/ministries/ministry_of_the_environment_and_spatial_planning/" TargetMode="External"/><Relationship Id="rId36" Type="http://schemas.openxmlformats.org/officeDocument/2006/relationships/hyperlink" Target="http://www.interreg-danube.eu/news-and-events/project-news/2476" TargetMode="External"/><Relationship Id="rId49" Type="http://schemas.openxmlformats.org/officeDocument/2006/relationships/hyperlink" Target="http://www.circular-challenge.com/en" TargetMode="External"/><Relationship Id="rId57" Type="http://schemas.openxmlformats.org/officeDocument/2006/relationships/hyperlink" Target="https://www.rwmexhibition.com/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sbagency.sk/en/slovak-business-agency" TargetMode="External"/><Relationship Id="rId44" Type="http://schemas.openxmlformats.org/officeDocument/2006/relationships/hyperlink" Target="http://www.interreg-danube.eu/approved-projects/moveco/section/circular-toolbox" TargetMode="External"/><Relationship Id="rId52" Type="http://schemas.openxmlformats.org/officeDocument/2006/relationships/hyperlink" Target="http://europa.eu/rapid/press-release_IP-18-3846_en.htm" TargetMode="External"/><Relationship Id="rId60" Type="http://schemas.openxmlformats.org/officeDocument/2006/relationships/hyperlink" Target="http://www.vivis.de/441-irrc" TargetMode="External"/><Relationship Id="rId65" Type="http://schemas.openxmlformats.org/officeDocument/2006/relationships/hyperlink" Target="mailto:moveco@bayfor.org" TargetMode="External"/><Relationship Id="rId73" Type="http://schemas.openxmlformats.org/officeDocument/2006/relationships/image" Target="media/image16.jpeg"/><Relationship Id="rId78" Type="http://schemas.openxmlformats.org/officeDocument/2006/relationships/image" Target="media/image19.jpe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bayfor.org/index_en.php" TargetMode="External"/><Relationship Id="rId39" Type="http://schemas.openxmlformats.org/officeDocument/2006/relationships/hyperlink" Target="http://www.website.com/" TargetMode="External"/><Relationship Id="rId34" Type="http://schemas.openxmlformats.org/officeDocument/2006/relationships/image" Target="media/image9.jpeg"/><Relationship Id="rId50" Type="http://schemas.openxmlformats.org/officeDocument/2006/relationships/hyperlink" Target="http://ec.europa.eu/environment/pubs/pdf/Waste_to_resource_factsheet.pdf" TargetMode="External"/><Relationship Id="rId55" Type="http://schemas.openxmlformats.org/officeDocument/2006/relationships/hyperlink" Target="https://www.isenec.org/en" TargetMode="External"/><Relationship Id="rId76" Type="http://schemas.openxmlformats.org/officeDocument/2006/relationships/image" Target="media/image18.jpeg"/><Relationship Id="rId7" Type="http://schemas.openxmlformats.org/officeDocument/2006/relationships/endnotes" Target="endnotes.xml"/><Relationship Id="rId71" Type="http://schemas.openxmlformats.org/officeDocument/2006/relationships/image" Target="media/image15.png"/><Relationship Id="rId2" Type="http://schemas.openxmlformats.org/officeDocument/2006/relationships/styles" Target="styles.xml"/><Relationship Id="rId29" Type="http://schemas.openxmlformats.org/officeDocument/2006/relationships/hyperlink" Target="http://www.interreg-danube.eu/news-and-events/project-news/2361" TargetMode="External"/><Relationship Id="rId24" Type="http://schemas.openxmlformats.org/officeDocument/2006/relationships/hyperlink" Target="https://www.bayfor.org/index_en.php" TargetMode="External"/><Relationship Id="rId40" Type="http://schemas.openxmlformats.org/officeDocument/2006/relationships/image" Target="media/image11.jpeg"/><Relationship Id="rId45" Type="http://schemas.openxmlformats.org/officeDocument/2006/relationships/hyperlink" Target="http://www.interreg-danube.eu/uploads/media/approved_project_public/0001/17/4db69172d52423769f0db6fa0d0ffa75f418f573.pdf" TargetMode="External"/><Relationship Id="rId66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AVN</cp:lastModifiedBy>
  <cp:revision>3</cp:revision>
  <dcterms:created xsi:type="dcterms:W3CDTF">2018-07-18T10:44:00Z</dcterms:created>
  <dcterms:modified xsi:type="dcterms:W3CDTF">2018-07-19T07:40:00Z</dcterms:modified>
</cp:coreProperties>
</file>