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3E164A" w:rsidRDefault="00423BA9" w:rsidP="00423BA9">
      <w:pPr>
        <w:jc w:val="center"/>
        <w:rPr>
          <w:b/>
          <w:sz w:val="40"/>
          <w:szCs w:val="40"/>
        </w:rPr>
      </w:pPr>
      <w:r w:rsidRPr="003E164A">
        <w:rPr>
          <w:b/>
          <w:sz w:val="40"/>
          <w:szCs w:val="40"/>
        </w:rPr>
        <w:t>МЕТОДИЧЕСКО УКАЗАНИЕ</w:t>
      </w:r>
    </w:p>
    <w:p w14:paraId="3E853499" w14:textId="77777777" w:rsidR="00423BA9" w:rsidRPr="003E164A" w:rsidRDefault="00423BA9" w:rsidP="00423BA9">
      <w:pPr>
        <w:jc w:val="center"/>
        <w:rPr>
          <w:b/>
          <w:sz w:val="40"/>
          <w:szCs w:val="40"/>
        </w:rPr>
      </w:pPr>
    </w:p>
    <w:p w14:paraId="0077E1B9" w14:textId="2B0B7A8C" w:rsidR="00423BA9" w:rsidRPr="00271090" w:rsidRDefault="00423BA9" w:rsidP="00285A8B">
      <w:pPr>
        <w:ind w:right="426"/>
        <w:jc w:val="center"/>
        <w:rPr>
          <w:b/>
        </w:rPr>
      </w:pPr>
      <w:r w:rsidRPr="00271090">
        <w:rPr>
          <w:b/>
        </w:rPr>
        <w:t>ЗА ПОДДЪРЖАНЕ И НАДГРАЖДАНЕ НА СПЕЦИФИЧНИТЕ ДИГИТАЛНИ УМЕНИЯ НА ЗАЕТИ</w:t>
      </w:r>
      <w:r w:rsidR="00285A8B">
        <w:rPr>
          <w:b/>
        </w:rPr>
        <w:t>ТЕ</w:t>
      </w:r>
      <w:r w:rsidRPr="00271090">
        <w:rPr>
          <w:b/>
        </w:rPr>
        <w:t xml:space="preserve"> ЛИЦА ОТ ИКОНОМИЧЕСКА ДЕЙНОСТ/СЕКТОР, СЪГЛАСНО КИД-2008:</w:t>
      </w:r>
    </w:p>
    <w:p w14:paraId="6E456028" w14:textId="56EB1AB0" w:rsidR="00466878" w:rsidRDefault="00466878" w:rsidP="003B593E">
      <w:pPr>
        <w:jc w:val="center"/>
        <w:rPr>
          <w:b/>
          <w:caps/>
        </w:rPr>
      </w:pPr>
      <w:bookmarkStart w:id="0" w:name="_Hlk129014103"/>
      <w:r w:rsidRPr="00466878">
        <w:rPr>
          <w:b/>
          <w:caps/>
        </w:rPr>
        <w:t>C32.9 Производство, неквалифицирано другаде /Разнообразни производства, неквалифицирани другаде/</w:t>
      </w:r>
    </w:p>
    <w:bookmarkEnd w:id="0"/>
    <w:p w14:paraId="1A3554A6" w14:textId="50BCEC77" w:rsidR="007730FC" w:rsidRPr="00D5349A" w:rsidRDefault="007730FC" w:rsidP="007730FC">
      <w:pPr>
        <w:jc w:val="center"/>
        <w:rPr>
          <w:i/>
          <w:lang w:val="en-US"/>
        </w:rPr>
      </w:pPr>
      <w:r w:rsidRPr="00D5349A">
        <w:rPr>
          <w:i/>
        </w:rPr>
        <w:t xml:space="preserve">Съгласно Европейската рамка за дигитални умения </w:t>
      </w:r>
      <w:proofErr w:type="spellStart"/>
      <w:r w:rsidRPr="00D5349A">
        <w:rPr>
          <w:i/>
          <w:lang w:val="en-US"/>
        </w:rPr>
        <w:t>DigComp</w:t>
      </w:r>
      <w:proofErr w:type="spellEnd"/>
      <w:r w:rsidRPr="00D5349A">
        <w:rPr>
          <w:i/>
          <w:lang w:val="en-US"/>
        </w:rPr>
        <w:t xml:space="preserve"> 2.1</w:t>
      </w:r>
    </w:p>
    <w:p w14:paraId="147D34EB" w14:textId="7701AF3D" w:rsidR="007730FC" w:rsidRDefault="007730FC" w:rsidP="007730FC"/>
    <w:p w14:paraId="574BC291" w14:textId="6AE57C20" w:rsidR="007730FC" w:rsidRDefault="007730FC">
      <w:pPr>
        <w:spacing w:before="0" w:after="160" w:line="259" w:lineRule="auto"/>
        <w:jc w:val="left"/>
      </w:pPr>
      <w:r>
        <w:br w:type="page"/>
      </w:r>
    </w:p>
    <w:bookmarkStart w:id="1" w:name="_Toc131769824"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1"/>
          <w:r>
            <w:t xml:space="preserve"> </w:t>
          </w:r>
        </w:p>
        <w:p w14:paraId="404D6CCD" w14:textId="019FE940" w:rsidR="0083131E"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31769824" w:history="1">
            <w:r w:rsidR="0083131E" w:rsidRPr="006C49CD">
              <w:rPr>
                <w:rStyle w:val="Hyperlink"/>
                <w:noProof/>
              </w:rPr>
              <w:t>Съдържание</w:t>
            </w:r>
            <w:r w:rsidR="0083131E">
              <w:rPr>
                <w:noProof/>
                <w:webHidden/>
              </w:rPr>
              <w:tab/>
            </w:r>
            <w:r w:rsidR="0083131E">
              <w:rPr>
                <w:noProof/>
                <w:webHidden/>
              </w:rPr>
              <w:fldChar w:fldCharType="begin"/>
            </w:r>
            <w:r w:rsidR="0083131E">
              <w:rPr>
                <w:noProof/>
                <w:webHidden/>
              </w:rPr>
              <w:instrText xml:space="preserve"> PAGEREF _Toc131769824 \h </w:instrText>
            </w:r>
            <w:r w:rsidR="0083131E">
              <w:rPr>
                <w:noProof/>
                <w:webHidden/>
              </w:rPr>
            </w:r>
            <w:r w:rsidR="0083131E">
              <w:rPr>
                <w:noProof/>
                <w:webHidden/>
              </w:rPr>
              <w:fldChar w:fldCharType="separate"/>
            </w:r>
            <w:r w:rsidR="00B946ED">
              <w:rPr>
                <w:noProof/>
                <w:webHidden/>
              </w:rPr>
              <w:t>2</w:t>
            </w:r>
            <w:r w:rsidR="0083131E">
              <w:rPr>
                <w:noProof/>
                <w:webHidden/>
              </w:rPr>
              <w:fldChar w:fldCharType="end"/>
            </w:r>
          </w:hyperlink>
        </w:p>
        <w:p w14:paraId="7553CFBB" w14:textId="6BFED931" w:rsidR="0083131E" w:rsidRDefault="0083131E">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825" w:history="1">
            <w:r w:rsidRPr="006C49CD">
              <w:rPr>
                <w:rStyle w:val="Hyperlink"/>
                <w:noProof/>
              </w:rPr>
              <w:t>1.</w:t>
            </w:r>
            <w:r>
              <w:rPr>
                <w:rFonts w:asciiTheme="minorHAnsi" w:eastAsiaTheme="minorEastAsia" w:hAnsiTheme="minorHAnsi" w:cstheme="minorBidi"/>
                <w:noProof/>
                <w:sz w:val="22"/>
                <w:szCs w:val="22"/>
                <w:lang w:val="en-US" w:eastAsia="en-US"/>
              </w:rPr>
              <w:tab/>
            </w:r>
            <w:r w:rsidRPr="006C49CD">
              <w:rPr>
                <w:rStyle w:val="Hyperlink"/>
                <w:noProof/>
              </w:rPr>
              <w:t>Въведение</w:t>
            </w:r>
            <w:r>
              <w:rPr>
                <w:noProof/>
                <w:webHidden/>
              </w:rPr>
              <w:tab/>
            </w:r>
            <w:r>
              <w:rPr>
                <w:noProof/>
                <w:webHidden/>
              </w:rPr>
              <w:fldChar w:fldCharType="begin"/>
            </w:r>
            <w:r>
              <w:rPr>
                <w:noProof/>
                <w:webHidden/>
              </w:rPr>
              <w:instrText xml:space="preserve"> PAGEREF _Toc131769825 \h </w:instrText>
            </w:r>
            <w:r>
              <w:rPr>
                <w:noProof/>
                <w:webHidden/>
              </w:rPr>
            </w:r>
            <w:r>
              <w:rPr>
                <w:noProof/>
                <w:webHidden/>
              </w:rPr>
              <w:fldChar w:fldCharType="separate"/>
            </w:r>
            <w:r w:rsidR="00B946ED">
              <w:rPr>
                <w:noProof/>
                <w:webHidden/>
              </w:rPr>
              <w:t>3</w:t>
            </w:r>
            <w:r>
              <w:rPr>
                <w:noProof/>
                <w:webHidden/>
              </w:rPr>
              <w:fldChar w:fldCharType="end"/>
            </w:r>
          </w:hyperlink>
        </w:p>
        <w:p w14:paraId="2B554247" w14:textId="4D08258B" w:rsidR="0083131E" w:rsidRDefault="0083131E">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826" w:history="1">
            <w:r w:rsidRPr="006C49CD">
              <w:rPr>
                <w:rStyle w:val="Hyperlink"/>
                <w:noProof/>
              </w:rPr>
              <w:t>2.</w:t>
            </w:r>
            <w:r>
              <w:rPr>
                <w:rFonts w:asciiTheme="minorHAnsi" w:eastAsiaTheme="minorEastAsia" w:hAnsiTheme="minorHAnsi" w:cstheme="minorBidi"/>
                <w:noProof/>
                <w:sz w:val="22"/>
                <w:szCs w:val="22"/>
                <w:lang w:val="en-US" w:eastAsia="en-US"/>
              </w:rPr>
              <w:tab/>
            </w:r>
            <w:r w:rsidRPr="006C49CD">
              <w:rPr>
                <w:rStyle w:val="Hyperlink"/>
                <w:noProof/>
              </w:rPr>
              <w:t>Цел и задачи на методическото указание</w:t>
            </w:r>
            <w:r>
              <w:rPr>
                <w:noProof/>
                <w:webHidden/>
              </w:rPr>
              <w:tab/>
            </w:r>
            <w:r>
              <w:rPr>
                <w:noProof/>
                <w:webHidden/>
              </w:rPr>
              <w:fldChar w:fldCharType="begin"/>
            </w:r>
            <w:r>
              <w:rPr>
                <w:noProof/>
                <w:webHidden/>
              </w:rPr>
              <w:instrText xml:space="preserve"> PAGEREF _Toc131769826 \h </w:instrText>
            </w:r>
            <w:r>
              <w:rPr>
                <w:noProof/>
                <w:webHidden/>
              </w:rPr>
            </w:r>
            <w:r>
              <w:rPr>
                <w:noProof/>
                <w:webHidden/>
              </w:rPr>
              <w:fldChar w:fldCharType="separate"/>
            </w:r>
            <w:r w:rsidR="00B946ED">
              <w:rPr>
                <w:noProof/>
                <w:webHidden/>
              </w:rPr>
              <w:t>5</w:t>
            </w:r>
            <w:r>
              <w:rPr>
                <w:noProof/>
                <w:webHidden/>
              </w:rPr>
              <w:fldChar w:fldCharType="end"/>
            </w:r>
          </w:hyperlink>
        </w:p>
        <w:p w14:paraId="00DC75B0" w14:textId="10B1CE7A" w:rsidR="0083131E" w:rsidRDefault="0083131E">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827" w:history="1">
            <w:r w:rsidRPr="006C49CD">
              <w:rPr>
                <w:rStyle w:val="Hyperlink"/>
                <w:noProof/>
              </w:rPr>
              <w:t>3.</w:t>
            </w:r>
            <w:r>
              <w:rPr>
                <w:rFonts w:asciiTheme="minorHAnsi" w:eastAsiaTheme="minorEastAsia" w:hAnsiTheme="minorHAnsi" w:cstheme="minorBidi"/>
                <w:noProof/>
                <w:sz w:val="22"/>
                <w:szCs w:val="22"/>
                <w:lang w:val="en-US" w:eastAsia="en-US"/>
              </w:rPr>
              <w:tab/>
            </w:r>
            <w:r w:rsidRPr="006C49CD">
              <w:rPr>
                <w:rStyle w:val="Hyperlink"/>
                <w:noProof/>
              </w:rPr>
              <w:t>Технология за поддържане, надграждане и развитие на специфичните дигитални умения</w:t>
            </w:r>
            <w:r>
              <w:rPr>
                <w:noProof/>
                <w:webHidden/>
              </w:rPr>
              <w:tab/>
            </w:r>
            <w:r>
              <w:rPr>
                <w:noProof/>
                <w:webHidden/>
              </w:rPr>
              <w:fldChar w:fldCharType="begin"/>
            </w:r>
            <w:r>
              <w:rPr>
                <w:noProof/>
                <w:webHidden/>
              </w:rPr>
              <w:instrText xml:space="preserve"> PAGEREF _Toc131769827 \h </w:instrText>
            </w:r>
            <w:r>
              <w:rPr>
                <w:noProof/>
                <w:webHidden/>
              </w:rPr>
            </w:r>
            <w:r>
              <w:rPr>
                <w:noProof/>
                <w:webHidden/>
              </w:rPr>
              <w:fldChar w:fldCharType="separate"/>
            </w:r>
            <w:r w:rsidR="00B946ED">
              <w:rPr>
                <w:noProof/>
                <w:webHidden/>
              </w:rPr>
              <w:t>6</w:t>
            </w:r>
            <w:r>
              <w:rPr>
                <w:noProof/>
                <w:webHidden/>
              </w:rPr>
              <w:fldChar w:fldCharType="end"/>
            </w:r>
          </w:hyperlink>
        </w:p>
        <w:p w14:paraId="249B96E3" w14:textId="2236E715" w:rsidR="0083131E" w:rsidRDefault="0083131E">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828" w:history="1">
            <w:r w:rsidRPr="006C49CD">
              <w:rPr>
                <w:rStyle w:val="Hyperlink"/>
                <w:noProof/>
              </w:rPr>
              <w:t>3.1.</w:t>
            </w:r>
            <w:r>
              <w:rPr>
                <w:rFonts w:asciiTheme="minorHAnsi" w:eastAsiaTheme="minorEastAsia" w:hAnsiTheme="minorHAnsi" w:cstheme="minorBidi"/>
                <w:noProof/>
                <w:sz w:val="22"/>
                <w:szCs w:val="22"/>
                <w:lang w:val="en-US" w:eastAsia="en-US"/>
              </w:rPr>
              <w:tab/>
            </w:r>
            <w:r w:rsidRPr="006C49CD">
              <w:rPr>
                <w:rStyle w:val="Hyperlink"/>
                <w:noProof/>
              </w:rPr>
              <w:t>Механизъм за текущ мониторинг на нивото на специфичните дигитални умения</w:t>
            </w:r>
            <w:r>
              <w:rPr>
                <w:noProof/>
                <w:webHidden/>
              </w:rPr>
              <w:tab/>
            </w:r>
            <w:r>
              <w:rPr>
                <w:noProof/>
                <w:webHidden/>
              </w:rPr>
              <w:fldChar w:fldCharType="begin"/>
            </w:r>
            <w:r>
              <w:rPr>
                <w:noProof/>
                <w:webHidden/>
              </w:rPr>
              <w:instrText xml:space="preserve"> PAGEREF _Toc131769828 \h </w:instrText>
            </w:r>
            <w:r>
              <w:rPr>
                <w:noProof/>
                <w:webHidden/>
              </w:rPr>
            </w:r>
            <w:r>
              <w:rPr>
                <w:noProof/>
                <w:webHidden/>
              </w:rPr>
              <w:fldChar w:fldCharType="separate"/>
            </w:r>
            <w:r w:rsidR="00B946ED">
              <w:rPr>
                <w:noProof/>
                <w:webHidden/>
              </w:rPr>
              <w:t>6</w:t>
            </w:r>
            <w:r>
              <w:rPr>
                <w:noProof/>
                <w:webHidden/>
              </w:rPr>
              <w:fldChar w:fldCharType="end"/>
            </w:r>
          </w:hyperlink>
        </w:p>
        <w:p w14:paraId="7FF853E9" w14:textId="0E0A33CC" w:rsidR="0083131E" w:rsidRDefault="0083131E">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829" w:history="1">
            <w:r w:rsidRPr="006C49CD">
              <w:rPr>
                <w:rStyle w:val="Hyperlink"/>
                <w:noProof/>
              </w:rPr>
              <w:t>3.2.</w:t>
            </w:r>
            <w:r>
              <w:rPr>
                <w:rFonts w:asciiTheme="minorHAnsi" w:eastAsiaTheme="minorEastAsia" w:hAnsiTheme="minorHAnsi" w:cstheme="minorBidi"/>
                <w:noProof/>
                <w:sz w:val="22"/>
                <w:szCs w:val="22"/>
                <w:lang w:val="en-US" w:eastAsia="en-US"/>
              </w:rPr>
              <w:tab/>
            </w:r>
            <w:r w:rsidRPr="006C49CD">
              <w:rPr>
                <w:rStyle w:val="Hyperlink"/>
                <w:noProof/>
              </w:rPr>
              <w:t>Анализ</w:t>
            </w:r>
            <w:r w:rsidRPr="006C49CD">
              <w:rPr>
                <w:rStyle w:val="Hyperlink"/>
                <w:noProof/>
                <w:lang w:val="en-US"/>
              </w:rPr>
              <w:t xml:space="preserve"> </w:t>
            </w:r>
            <w:r w:rsidRPr="006C49CD">
              <w:rPr>
                <w:rStyle w:val="Hyperlink"/>
                <w:noProof/>
              </w:rPr>
              <w:t>на резултатите от проведения мониторинг</w:t>
            </w:r>
            <w:r>
              <w:rPr>
                <w:noProof/>
                <w:webHidden/>
              </w:rPr>
              <w:tab/>
            </w:r>
            <w:r>
              <w:rPr>
                <w:noProof/>
                <w:webHidden/>
              </w:rPr>
              <w:fldChar w:fldCharType="begin"/>
            </w:r>
            <w:r>
              <w:rPr>
                <w:noProof/>
                <w:webHidden/>
              </w:rPr>
              <w:instrText xml:space="preserve"> PAGEREF _Toc131769829 \h </w:instrText>
            </w:r>
            <w:r>
              <w:rPr>
                <w:noProof/>
                <w:webHidden/>
              </w:rPr>
            </w:r>
            <w:r>
              <w:rPr>
                <w:noProof/>
                <w:webHidden/>
              </w:rPr>
              <w:fldChar w:fldCharType="separate"/>
            </w:r>
            <w:r w:rsidR="00B946ED">
              <w:rPr>
                <w:noProof/>
                <w:webHidden/>
              </w:rPr>
              <w:t>9</w:t>
            </w:r>
            <w:r>
              <w:rPr>
                <w:noProof/>
                <w:webHidden/>
              </w:rPr>
              <w:fldChar w:fldCharType="end"/>
            </w:r>
          </w:hyperlink>
        </w:p>
        <w:p w14:paraId="74B807FE" w14:textId="7F4F98D8" w:rsidR="0083131E" w:rsidRDefault="0083131E">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830" w:history="1">
            <w:r w:rsidRPr="006C49CD">
              <w:rPr>
                <w:rStyle w:val="Hyperlink"/>
                <w:noProof/>
              </w:rPr>
              <w:t>3.3.</w:t>
            </w:r>
            <w:r>
              <w:rPr>
                <w:rFonts w:asciiTheme="minorHAnsi" w:eastAsiaTheme="minorEastAsia" w:hAnsiTheme="minorHAnsi" w:cstheme="minorBidi"/>
                <w:noProof/>
                <w:sz w:val="22"/>
                <w:szCs w:val="22"/>
                <w:lang w:val="en-US" w:eastAsia="en-US"/>
              </w:rPr>
              <w:tab/>
            </w:r>
            <w:r w:rsidRPr="006C49CD">
              <w:rPr>
                <w:rStyle w:val="Hyperlink"/>
                <w:noProof/>
              </w:rPr>
              <w:t>Актуализиране на унифицираните профили на дигиталните умения</w:t>
            </w:r>
            <w:r>
              <w:rPr>
                <w:noProof/>
                <w:webHidden/>
              </w:rPr>
              <w:tab/>
            </w:r>
            <w:r>
              <w:rPr>
                <w:noProof/>
                <w:webHidden/>
              </w:rPr>
              <w:fldChar w:fldCharType="begin"/>
            </w:r>
            <w:r>
              <w:rPr>
                <w:noProof/>
                <w:webHidden/>
              </w:rPr>
              <w:instrText xml:space="preserve"> PAGEREF _Toc131769830 \h </w:instrText>
            </w:r>
            <w:r>
              <w:rPr>
                <w:noProof/>
                <w:webHidden/>
              </w:rPr>
            </w:r>
            <w:r>
              <w:rPr>
                <w:noProof/>
                <w:webHidden/>
              </w:rPr>
              <w:fldChar w:fldCharType="separate"/>
            </w:r>
            <w:r w:rsidR="00B946ED">
              <w:rPr>
                <w:noProof/>
                <w:webHidden/>
              </w:rPr>
              <w:t>12</w:t>
            </w:r>
            <w:r>
              <w:rPr>
                <w:noProof/>
                <w:webHidden/>
              </w:rPr>
              <w:fldChar w:fldCharType="end"/>
            </w:r>
          </w:hyperlink>
        </w:p>
        <w:p w14:paraId="5317848C" w14:textId="5669005F" w:rsidR="0083131E" w:rsidRDefault="0083131E">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831" w:history="1">
            <w:r w:rsidRPr="006C49CD">
              <w:rPr>
                <w:rStyle w:val="Hyperlink"/>
                <w:noProof/>
              </w:rPr>
              <w:t>3.4.</w:t>
            </w:r>
            <w:r>
              <w:rPr>
                <w:rFonts w:asciiTheme="minorHAnsi" w:eastAsiaTheme="minorEastAsia" w:hAnsiTheme="minorHAnsi" w:cstheme="minorBidi"/>
                <w:noProof/>
                <w:sz w:val="22"/>
                <w:szCs w:val="22"/>
                <w:lang w:val="en-US" w:eastAsia="en-US"/>
              </w:rPr>
              <w:tab/>
            </w:r>
            <w:r w:rsidRPr="006C49CD">
              <w:rPr>
                <w:rStyle w:val="Hyperlink"/>
                <w:noProof/>
              </w:rPr>
              <w:t>Актуализиране на програмите за неформално обучение</w:t>
            </w:r>
            <w:r>
              <w:rPr>
                <w:noProof/>
                <w:webHidden/>
              </w:rPr>
              <w:tab/>
            </w:r>
            <w:r>
              <w:rPr>
                <w:noProof/>
                <w:webHidden/>
              </w:rPr>
              <w:fldChar w:fldCharType="begin"/>
            </w:r>
            <w:r>
              <w:rPr>
                <w:noProof/>
                <w:webHidden/>
              </w:rPr>
              <w:instrText xml:space="preserve"> PAGEREF _Toc131769831 \h </w:instrText>
            </w:r>
            <w:r>
              <w:rPr>
                <w:noProof/>
                <w:webHidden/>
              </w:rPr>
            </w:r>
            <w:r>
              <w:rPr>
                <w:noProof/>
                <w:webHidden/>
              </w:rPr>
              <w:fldChar w:fldCharType="separate"/>
            </w:r>
            <w:r w:rsidR="00B946ED">
              <w:rPr>
                <w:noProof/>
                <w:webHidden/>
              </w:rPr>
              <w:t>12</w:t>
            </w:r>
            <w:r>
              <w:rPr>
                <w:noProof/>
                <w:webHidden/>
              </w:rPr>
              <w:fldChar w:fldCharType="end"/>
            </w:r>
          </w:hyperlink>
        </w:p>
        <w:p w14:paraId="4844D0A4" w14:textId="5960CCF1" w:rsidR="0083131E" w:rsidRDefault="0083131E">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832" w:history="1">
            <w:r w:rsidRPr="006C49CD">
              <w:rPr>
                <w:rStyle w:val="Hyperlink"/>
                <w:noProof/>
              </w:rPr>
              <w:t>3.5.</w:t>
            </w:r>
            <w:r>
              <w:rPr>
                <w:rFonts w:asciiTheme="minorHAnsi" w:eastAsiaTheme="minorEastAsia" w:hAnsiTheme="minorHAnsi" w:cstheme="minorBidi"/>
                <w:noProof/>
                <w:sz w:val="22"/>
                <w:szCs w:val="22"/>
                <w:lang w:val="en-US" w:eastAsia="en-US"/>
              </w:rPr>
              <w:tab/>
            </w:r>
            <w:r w:rsidRPr="006C49CD">
              <w:rPr>
                <w:rStyle w:val="Hyperlink"/>
                <w:noProof/>
              </w:rPr>
              <w:t>Адаптиране на секторната квалификационна рамка</w:t>
            </w:r>
            <w:r>
              <w:rPr>
                <w:noProof/>
                <w:webHidden/>
              </w:rPr>
              <w:tab/>
            </w:r>
            <w:r>
              <w:rPr>
                <w:noProof/>
                <w:webHidden/>
              </w:rPr>
              <w:fldChar w:fldCharType="begin"/>
            </w:r>
            <w:r>
              <w:rPr>
                <w:noProof/>
                <w:webHidden/>
              </w:rPr>
              <w:instrText xml:space="preserve"> PAGEREF _Toc131769832 \h </w:instrText>
            </w:r>
            <w:r>
              <w:rPr>
                <w:noProof/>
                <w:webHidden/>
              </w:rPr>
            </w:r>
            <w:r>
              <w:rPr>
                <w:noProof/>
                <w:webHidden/>
              </w:rPr>
              <w:fldChar w:fldCharType="separate"/>
            </w:r>
            <w:r w:rsidR="00B946ED">
              <w:rPr>
                <w:noProof/>
                <w:webHidden/>
              </w:rPr>
              <w:t>15</w:t>
            </w:r>
            <w:r>
              <w:rPr>
                <w:noProof/>
                <w:webHidden/>
              </w:rPr>
              <w:fldChar w:fldCharType="end"/>
            </w:r>
          </w:hyperlink>
        </w:p>
        <w:p w14:paraId="1304FEFE" w14:textId="17821CA2" w:rsidR="0083131E" w:rsidRDefault="0083131E">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833" w:history="1">
            <w:r w:rsidRPr="006C49CD">
              <w:rPr>
                <w:rStyle w:val="Hyperlink"/>
                <w:noProof/>
              </w:rPr>
              <w:t>4.</w:t>
            </w:r>
            <w:r>
              <w:rPr>
                <w:rFonts w:asciiTheme="minorHAnsi" w:eastAsiaTheme="minorEastAsia" w:hAnsiTheme="minorHAnsi" w:cstheme="minorBidi"/>
                <w:noProof/>
                <w:sz w:val="22"/>
                <w:szCs w:val="22"/>
                <w:lang w:val="en-US" w:eastAsia="en-US"/>
              </w:rPr>
              <w:tab/>
            </w:r>
            <w:r w:rsidRPr="006C49CD">
              <w:rPr>
                <w:rStyle w:val="Hyperlink"/>
                <w:noProof/>
              </w:rPr>
              <w:t>Инструментариум за прогнозиране на специфичните дигитални умения</w:t>
            </w:r>
            <w:r>
              <w:rPr>
                <w:noProof/>
                <w:webHidden/>
              </w:rPr>
              <w:tab/>
            </w:r>
            <w:r>
              <w:rPr>
                <w:noProof/>
                <w:webHidden/>
              </w:rPr>
              <w:fldChar w:fldCharType="begin"/>
            </w:r>
            <w:r>
              <w:rPr>
                <w:noProof/>
                <w:webHidden/>
              </w:rPr>
              <w:instrText xml:space="preserve"> PAGEREF _Toc131769833 \h </w:instrText>
            </w:r>
            <w:r>
              <w:rPr>
                <w:noProof/>
                <w:webHidden/>
              </w:rPr>
            </w:r>
            <w:r>
              <w:rPr>
                <w:noProof/>
                <w:webHidden/>
              </w:rPr>
              <w:fldChar w:fldCharType="separate"/>
            </w:r>
            <w:r w:rsidR="00B946ED">
              <w:rPr>
                <w:noProof/>
                <w:webHidden/>
              </w:rPr>
              <w:t>16</w:t>
            </w:r>
            <w:r>
              <w:rPr>
                <w:noProof/>
                <w:webHidden/>
              </w:rPr>
              <w:fldChar w:fldCharType="end"/>
            </w:r>
          </w:hyperlink>
        </w:p>
        <w:p w14:paraId="41B720D4" w14:textId="5E5B2076" w:rsidR="0083131E" w:rsidRDefault="0083131E">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834" w:history="1">
            <w:r w:rsidRPr="006C49CD">
              <w:rPr>
                <w:rStyle w:val="Hyperlink"/>
                <w:rFonts w:eastAsia="Calibri"/>
                <w:noProof/>
                <w:lang w:val="en-US"/>
              </w:rPr>
              <w:t>5.</w:t>
            </w:r>
            <w:r>
              <w:rPr>
                <w:rFonts w:asciiTheme="minorHAnsi" w:eastAsiaTheme="minorEastAsia" w:hAnsiTheme="minorHAnsi" w:cstheme="minorBidi"/>
                <w:noProof/>
                <w:sz w:val="22"/>
                <w:szCs w:val="22"/>
                <w:lang w:val="en-US" w:eastAsia="en-US"/>
              </w:rPr>
              <w:tab/>
            </w:r>
            <w:r w:rsidRPr="006C49CD">
              <w:rPr>
                <w:rStyle w:val="Hyperlink"/>
                <w:noProof/>
              </w:rPr>
              <w:t xml:space="preserve">Процедура за приемане и актуализиране на </w:t>
            </w:r>
            <w:r w:rsidRPr="006C49CD">
              <w:rPr>
                <w:rStyle w:val="Hyperlink"/>
                <w:rFonts w:eastAsia="Calibri"/>
                <w:noProof/>
              </w:rPr>
              <w:t>Методическото указание</w:t>
            </w:r>
            <w:r>
              <w:rPr>
                <w:noProof/>
                <w:webHidden/>
              </w:rPr>
              <w:tab/>
            </w:r>
            <w:r>
              <w:rPr>
                <w:noProof/>
                <w:webHidden/>
              </w:rPr>
              <w:fldChar w:fldCharType="begin"/>
            </w:r>
            <w:r>
              <w:rPr>
                <w:noProof/>
                <w:webHidden/>
              </w:rPr>
              <w:instrText xml:space="preserve"> PAGEREF _Toc131769834 \h </w:instrText>
            </w:r>
            <w:r>
              <w:rPr>
                <w:noProof/>
                <w:webHidden/>
              </w:rPr>
            </w:r>
            <w:r>
              <w:rPr>
                <w:noProof/>
                <w:webHidden/>
              </w:rPr>
              <w:fldChar w:fldCharType="separate"/>
            </w:r>
            <w:r w:rsidR="00B946ED">
              <w:rPr>
                <w:noProof/>
                <w:webHidden/>
              </w:rPr>
              <w:t>18</w:t>
            </w:r>
            <w:r>
              <w:rPr>
                <w:noProof/>
                <w:webHidden/>
              </w:rPr>
              <w:fldChar w:fldCharType="end"/>
            </w:r>
          </w:hyperlink>
        </w:p>
        <w:p w14:paraId="29733497" w14:textId="394AFD0C" w:rsidR="0083131E" w:rsidRDefault="0083131E">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835" w:history="1">
            <w:r w:rsidRPr="006C49CD">
              <w:rPr>
                <w:rStyle w:val="Hyperlink"/>
                <w:noProof/>
              </w:rPr>
              <w:t>6.</w:t>
            </w:r>
            <w:r>
              <w:rPr>
                <w:rFonts w:asciiTheme="minorHAnsi" w:eastAsiaTheme="minorEastAsia" w:hAnsiTheme="minorHAnsi" w:cstheme="minorBidi"/>
                <w:noProof/>
                <w:sz w:val="22"/>
                <w:szCs w:val="22"/>
                <w:lang w:val="en-US" w:eastAsia="en-US"/>
              </w:rPr>
              <w:tab/>
            </w:r>
            <w:r w:rsidRPr="006C49CD">
              <w:rPr>
                <w:rStyle w:val="Hyperlink"/>
                <w:noProof/>
              </w:rPr>
              <w:t>ПРИЛОЖЕНИЯ</w:t>
            </w:r>
            <w:r>
              <w:rPr>
                <w:noProof/>
                <w:webHidden/>
              </w:rPr>
              <w:tab/>
            </w:r>
            <w:r>
              <w:rPr>
                <w:noProof/>
                <w:webHidden/>
              </w:rPr>
              <w:fldChar w:fldCharType="begin"/>
            </w:r>
            <w:r>
              <w:rPr>
                <w:noProof/>
                <w:webHidden/>
              </w:rPr>
              <w:instrText xml:space="preserve"> PAGEREF _Toc131769835 \h </w:instrText>
            </w:r>
            <w:r>
              <w:rPr>
                <w:noProof/>
                <w:webHidden/>
              </w:rPr>
            </w:r>
            <w:r>
              <w:rPr>
                <w:noProof/>
                <w:webHidden/>
              </w:rPr>
              <w:fldChar w:fldCharType="separate"/>
            </w:r>
            <w:r w:rsidR="00B946ED">
              <w:rPr>
                <w:noProof/>
                <w:webHidden/>
              </w:rPr>
              <w:t>18</w:t>
            </w:r>
            <w:r>
              <w:rPr>
                <w:noProof/>
                <w:webHidden/>
              </w:rPr>
              <w:fldChar w:fldCharType="end"/>
            </w:r>
          </w:hyperlink>
        </w:p>
        <w:p w14:paraId="13D246C3" w14:textId="43B55AF3" w:rsidR="005213B2" w:rsidRDefault="005213B2" w:rsidP="001E13A2">
          <w:pPr>
            <w:rPr>
              <w:noProof/>
            </w:rPr>
          </w:pPr>
          <w:r>
            <w:rPr>
              <w:noProof/>
            </w:rPr>
            <w:fldChar w:fldCharType="end"/>
          </w:r>
        </w:p>
      </w:sdtContent>
    </w:sdt>
    <w:p w14:paraId="2CB6101E" w14:textId="77777777" w:rsidR="00423BA9" w:rsidRDefault="00423BA9" w:rsidP="00423BA9"/>
    <w:bookmarkStart w:id="2" w:name="_Hlk128242790"/>
    <w:p w14:paraId="2B06ED96" w14:textId="1B6D2A42" w:rsidR="0083131E" w:rsidRPr="0083131E" w:rsidRDefault="0083131E" w:rsidP="0083131E">
      <w:pPr>
        <w:pStyle w:val="TableofFigures"/>
        <w:tabs>
          <w:tab w:val="right" w:leader="dot" w:pos="9350"/>
        </w:tabs>
        <w:rPr>
          <w:rFonts w:asciiTheme="minorHAnsi" w:eastAsiaTheme="minorEastAsia" w:hAnsiTheme="minorHAnsi" w:cstheme="minorBidi"/>
          <w:noProof/>
          <w:sz w:val="22"/>
          <w:szCs w:val="22"/>
          <w:lang w:val="en-US" w:eastAsia="en-US"/>
        </w:rPr>
      </w:pPr>
      <w:r w:rsidRPr="0083131E">
        <w:fldChar w:fldCharType="begin"/>
      </w:r>
      <w:r w:rsidRPr="0083131E">
        <w:instrText>HYPERLINK \l "_Toc130569696"</w:instrText>
      </w:r>
      <w:r w:rsidRPr="0083131E">
        <w:fldChar w:fldCharType="separate"/>
      </w:r>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Pr>
          <w:noProof/>
          <w:webHidden/>
        </w:rPr>
        <w:t>9</w:t>
      </w:r>
      <w:r w:rsidRPr="0083131E">
        <w:rPr>
          <w:noProof/>
        </w:rPr>
        <w:fldChar w:fldCharType="end"/>
      </w:r>
    </w:p>
    <w:p w14:paraId="43D56A09" w14:textId="4524356A" w:rsidR="0083131E" w:rsidRPr="0083131E" w:rsidRDefault="0083131E" w:rsidP="0083131E">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Pr="0083131E">
          <w:rPr>
            <w:rStyle w:val="Hyperlink"/>
            <w:noProof/>
            <w:color w:val="auto"/>
            <w:u w:val="none"/>
          </w:rPr>
          <w:t>Фигура 2</w:t>
        </w:r>
        <w:r w:rsidRPr="0083131E">
          <w:rPr>
            <w:rStyle w:val="Hyperlink"/>
            <w:noProof/>
            <w:color w:val="auto"/>
            <w:u w:val="none"/>
            <w:lang w:val="en-US"/>
          </w:rPr>
          <w:t xml:space="preserve">. </w:t>
        </w:r>
        <w:r w:rsidRPr="0083131E">
          <w:rPr>
            <w:rStyle w:val="Hyperlink"/>
            <w:rFonts w:eastAsia="Calibri" w:cstheme="minorHAnsi"/>
            <w:bCs/>
            <w:noProof/>
            <w:color w:val="auto"/>
            <w:u w:val="none"/>
          </w:rPr>
          <w:t>Карта</w:t>
        </w:r>
        <w:r w:rsidRPr="0083131E">
          <w:rPr>
            <w:rStyle w:val="Hyperlink"/>
            <w:rFonts w:eastAsia="Calibri" w:cstheme="minorHAnsi"/>
            <w:noProof/>
            <w:color w:val="auto"/>
            <w:u w:val="none"/>
          </w:rPr>
          <w:t xml:space="preserve"> за оценка на специфичните дигитални компетентности</w:t>
        </w:r>
        <w:r w:rsidRPr="0083131E">
          <w:rPr>
            <w:noProof/>
            <w:webHidden/>
          </w:rPr>
          <w:tab/>
        </w:r>
        <w:r w:rsidRPr="0083131E">
          <w:rPr>
            <w:noProof/>
            <w:webHidden/>
          </w:rPr>
          <w:fldChar w:fldCharType="begin"/>
        </w:r>
        <w:r w:rsidRPr="0083131E">
          <w:rPr>
            <w:noProof/>
            <w:webHidden/>
          </w:rPr>
          <w:instrText xml:space="preserve"> PAGEREF _Toc130569697 \h </w:instrText>
        </w:r>
        <w:r w:rsidRPr="0083131E">
          <w:rPr>
            <w:noProof/>
            <w:webHidden/>
          </w:rPr>
        </w:r>
        <w:r w:rsidRPr="0083131E">
          <w:rPr>
            <w:noProof/>
            <w:webHidden/>
          </w:rPr>
          <w:fldChar w:fldCharType="separate"/>
        </w:r>
        <w:r w:rsidRPr="0083131E">
          <w:rPr>
            <w:noProof/>
            <w:webHidden/>
          </w:rPr>
          <w:t>1</w:t>
        </w:r>
        <w:r>
          <w:rPr>
            <w:noProof/>
            <w:webHidden/>
          </w:rPr>
          <w:t>1</w:t>
        </w:r>
        <w:r w:rsidRPr="0083131E">
          <w:rPr>
            <w:noProof/>
            <w:webHidden/>
          </w:rPr>
          <w:fldChar w:fldCharType="end"/>
        </w:r>
      </w:hyperlink>
    </w:p>
    <w:p w14:paraId="6D51AD3D" w14:textId="47491948" w:rsidR="0083131E" w:rsidRPr="0083131E" w:rsidRDefault="0083131E" w:rsidP="0083131E">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Pr="0083131E">
          <w:rPr>
            <w:rStyle w:val="Hyperlink"/>
            <w:noProof/>
            <w:color w:val="auto"/>
            <w:u w:val="none"/>
          </w:rPr>
          <w:t xml:space="preserve">Фигура 3. </w:t>
        </w:r>
        <w:r w:rsidRPr="0083131E">
          <w:rPr>
            <w:rStyle w:val="Hyperlink"/>
            <w:rFonts w:eastAsia="Calibri" w:cs="Times New Roman"/>
            <w:bCs/>
            <w:noProof/>
            <w:color w:val="auto"/>
            <w:u w:val="none"/>
            <w:lang w:eastAsia="en-US"/>
          </w:rPr>
          <w:t>Пример за учебно съдържание</w:t>
        </w:r>
        <w:r w:rsidRPr="0083131E">
          <w:rPr>
            <w:noProof/>
            <w:webHidden/>
          </w:rPr>
          <w:tab/>
        </w:r>
        <w:r w:rsidRPr="0083131E">
          <w:rPr>
            <w:noProof/>
            <w:webHidden/>
          </w:rPr>
          <w:fldChar w:fldCharType="begin"/>
        </w:r>
        <w:r w:rsidRPr="0083131E">
          <w:rPr>
            <w:noProof/>
            <w:webHidden/>
          </w:rPr>
          <w:instrText xml:space="preserve"> PAGEREF _Toc130569698 \h </w:instrText>
        </w:r>
        <w:r w:rsidRPr="0083131E">
          <w:rPr>
            <w:noProof/>
            <w:webHidden/>
          </w:rPr>
        </w:r>
        <w:r w:rsidRPr="0083131E">
          <w:rPr>
            <w:noProof/>
            <w:webHidden/>
          </w:rPr>
          <w:fldChar w:fldCharType="separate"/>
        </w:r>
        <w:r w:rsidRPr="0083131E">
          <w:rPr>
            <w:noProof/>
            <w:webHidden/>
          </w:rPr>
          <w:t>1</w:t>
        </w:r>
        <w:r>
          <w:rPr>
            <w:noProof/>
            <w:webHidden/>
          </w:rPr>
          <w:t>5</w:t>
        </w:r>
        <w:r w:rsidRPr="0083131E">
          <w:rPr>
            <w:noProof/>
            <w:webHidden/>
          </w:rPr>
          <w:fldChar w:fldCharType="end"/>
        </w:r>
      </w:hyperlink>
    </w:p>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r>
        <w:br w:type="page"/>
      </w:r>
    </w:p>
    <w:p w14:paraId="6C624911" w14:textId="06B442ED" w:rsidR="00423BA9" w:rsidRPr="007730FC" w:rsidRDefault="00423BA9" w:rsidP="007730FC">
      <w:pPr>
        <w:pStyle w:val="Heading1"/>
      </w:pPr>
      <w:bookmarkStart w:id="3" w:name="_Toc131769825"/>
      <w:r w:rsidRPr="007730FC">
        <w:lastRenderedPageBreak/>
        <w:t>Въведение</w:t>
      </w:r>
      <w:bookmarkEnd w:id="3"/>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4"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4"/>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0BC647B8" w:rsidR="002A38C6" w:rsidRPr="009025B8" w:rsidRDefault="002A38C6" w:rsidP="00686168">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bookmarkStart w:id="5" w:name="_Hlk129014378"/>
      <w:r w:rsidR="00466878" w:rsidRPr="00466878">
        <w:rPr>
          <w:b/>
          <w:bCs/>
        </w:rPr>
        <w:t>С32.9 Производство, неквалифицирано</w:t>
      </w:r>
      <w:r w:rsidR="00466878">
        <w:rPr>
          <w:b/>
          <w:bCs/>
        </w:rPr>
        <w:t xml:space="preserve"> </w:t>
      </w:r>
      <w:r w:rsidR="00466878" w:rsidRPr="00466878">
        <w:rPr>
          <w:b/>
          <w:bCs/>
        </w:rPr>
        <w:t>другаде/разнообразни производства, неквалифицирани другаде</w:t>
      </w:r>
      <w:r w:rsidR="00686168">
        <w:rPr>
          <w:b/>
          <w:bCs/>
        </w:rPr>
        <w:t xml:space="preserve">, </w:t>
      </w:r>
      <w:bookmarkEnd w:id="5"/>
      <w:r w:rsidRPr="009025B8">
        <w:t>която попада в обхвата на проектното предложение на БТПП.</w:t>
      </w:r>
    </w:p>
    <w:p w14:paraId="560AB449" w14:textId="1CB2F214" w:rsidR="002A38C6" w:rsidRPr="00466878" w:rsidRDefault="002A38C6" w:rsidP="00466878">
      <w:pPr>
        <w:rPr>
          <w:b/>
          <w:bCs/>
        </w:rPr>
      </w:pPr>
      <w:r w:rsidRPr="00271090">
        <w:t xml:space="preserve">Технологията за </w:t>
      </w:r>
      <w:r w:rsidRPr="00271090">
        <w:rPr>
          <w:bCs/>
        </w:rPr>
        <w:t xml:space="preserve">поддържане, надграждане и развитие на  специфичните дигитални умения на </w:t>
      </w:r>
      <w:r w:rsidRPr="00686168">
        <w:rPr>
          <w:bCs/>
        </w:rPr>
        <w:t xml:space="preserve">работещите </w:t>
      </w:r>
      <w:r w:rsidRPr="00686168">
        <w:t xml:space="preserve">в </w:t>
      </w:r>
      <w:r w:rsidR="00C52DA2" w:rsidRPr="009025B8">
        <w:t>икономическа дейност по КИД 2008</w:t>
      </w:r>
      <w:r w:rsidR="00C52DA2" w:rsidRPr="009025B8">
        <w:rPr>
          <w:color w:val="FF0000"/>
        </w:rPr>
        <w:t xml:space="preserve"> </w:t>
      </w:r>
      <w:r w:rsidR="00C52DA2" w:rsidRPr="00466878">
        <w:rPr>
          <w:b/>
          <w:bCs/>
        </w:rPr>
        <w:t>С32.9 Производство, неквалифицирано</w:t>
      </w:r>
      <w:r w:rsidR="00C52DA2">
        <w:rPr>
          <w:b/>
          <w:bCs/>
        </w:rPr>
        <w:t xml:space="preserve"> </w:t>
      </w:r>
      <w:r w:rsidR="00C52DA2" w:rsidRPr="00466878">
        <w:rPr>
          <w:b/>
          <w:bCs/>
        </w:rPr>
        <w:t>другаде/разнообразни производства, неквалифицирани другаде</w:t>
      </w:r>
      <w:r w:rsidR="00C52DA2" w:rsidRPr="00686168">
        <w:rPr>
          <w:bCs/>
        </w:rPr>
        <w:t xml:space="preserve"> </w:t>
      </w:r>
      <w:r w:rsidRPr="00686168">
        <w:rPr>
          <w:bCs/>
        </w:rPr>
        <w:t xml:space="preserve">се основава на предварителен </w:t>
      </w:r>
      <w:r w:rsidRPr="00686168">
        <w:t xml:space="preserve">анализ на дефицитите и дисбалансите на специфични дигитални </w:t>
      </w:r>
      <w:r w:rsidRPr="00271090">
        <w:t xml:space="preserve">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w:t>
      </w:r>
      <w:r w:rsidR="00DE0B69" w:rsidRPr="00ED6CD6">
        <w:t xml:space="preserve">длъжността </w:t>
      </w:r>
      <w:r w:rsidR="00466878" w:rsidRPr="00466878">
        <w:rPr>
          <w:b/>
          <w:bCs/>
        </w:rPr>
        <w:t>21496015 Инженер /конструктор/ по специално въоръжение и техника</w:t>
      </w:r>
      <w:r w:rsidRPr="00271090">
        <w:t xml:space="preserve">.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 Дейност 1 от проекта</w:t>
      </w:r>
      <w:r w:rsidR="00CF5BF7">
        <w:t xml:space="preserve"> </w:t>
      </w:r>
      <w:r w:rsidR="00BA060B" w:rsidRPr="00A70C2B">
        <w:t>(Приложение 1</w:t>
      </w:r>
      <w:r w:rsidR="00FE0EE8" w:rsidRPr="00A70C2B">
        <w:t>).</w:t>
      </w:r>
    </w:p>
    <w:p w14:paraId="76D237EF" w14:textId="77777777" w:rsidR="00C52DA2" w:rsidRDefault="00686168" w:rsidP="002A38C6">
      <w:pPr>
        <w:spacing w:after="120"/>
        <w:rPr>
          <w:b/>
          <w:bCs/>
        </w:rPr>
      </w:pPr>
      <w:r w:rsidRPr="00C52DA2">
        <w:lastRenderedPageBreak/>
        <w:t>Анализът показва, че</w:t>
      </w:r>
      <w:r w:rsidR="00C52DA2">
        <w:t xml:space="preserve"> основните задължения на </w:t>
      </w:r>
      <w:r w:rsidR="00C52DA2" w:rsidRPr="00C52DA2">
        <w:t>респондентите от икономическа дейност</w:t>
      </w:r>
      <w:r w:rsidR="00C52DA2">
        <w:t>/сектор</w:t>
      </w:r>
      <w:r w:rsidR="00C52DA2" w:rsidRPr="00C52DA2">
        <w:rPr>
          <w:color w:val="FF0000"/>
        </w:rPr>
        <w:t xml:space="preserve"> </w:t>
      </w:r>
      <w:r w:rsidR="00C52DA2" w:rsidRPr="00C52DA2">
        <w:rPr>
          <w:b/>
          <w:bCs/>
        </w:rPr>
        <w:t>С32.9 Производство, неквалифицирано другаде/разнообразни производства, неквалифицирани другаде</w:t>
      </w:r>
      <w:r w:rsidR="00C52DA2">
        <w:rPr>
          <w:b/>
          <w:bCs/>
        </w:rPr>
        <w:t xml:space="preserve"> са:</w:t>
      </w:r>
    </w:p>
    <w:p w14:paraId="597F3482" w14:textId="77777777" w:rsidR="00C52DA2" w:rsidRDefault="00C52DA2" w:rsidP="00C52DA2">
      <w:pPr>
        <w:pStyle w:val="ListParagraph"/>
        <w:numPr>
          <w:ilvl w:val="0"/>
          <w:numId w:val="45"/>
        </w:numPr>
        <w:tabs>
          <w:tab w:val="left" w:pos="284"/>
        </w:tabs>
        <w:spacing w:after="120"/>
        <w:ind w:left="0" w:firstLine="0"/>
      </w:pPr>
      <w:r>
        <w:t xml:space="preserve">Проектиране на елементи за оптични инструменти като лещи, микроскопи, телескопи, лазери, оптични дискови системи и друго оборудване, което използва свойствата на светлината - 100%; </w:t>
      </w:r>
    </w:p>
    <w:p w14:paraId="42161340" w14:textId="1FACFDD9" w:rsidR="00C52DA2" w:rsidRDefault="00C52DA2" w:rsidP="00C52DA2">
      <w:pPr>
        <w:pStyle w:val="ListParagraph"/>
        <w:numPr>
          <w:ilvl w:val="0"/>
          <w:numId w:val="45"/>
        </w:numPr>
        <w:tabs>
          <w:tab w:val="left" w:pos="284"/>
        </w:tabs>
        <w:spacing w:after="120"/>
        <w:ind w:left="0" w:firstLine="0"/>
      </w:pPr>
      <w:r>
        <w:t>Проектират, тестват и координират разработването на взривни вещества, отговарящи на изискванията на военните спецификации 100%;</w:t>
      </w:r>
    </w:p>
    <w:p w14:paraId="150B5AF3" w14:textId="573A27CA" w:rsidR="00C52DA2" w:rsidRDefault="00C52DA2" w:rsidP="00C52DA2">
      <w:pPr>
        <w:pStyle w:val="ListParagraph"/>
        <w:numPr>
          <w:ilvl w:val="0"/>
          <w:numId w:val="45"/>
        </w:numPr>
        <w:tabs>
          <w:tab w:val="left" w:pos="284"/>
        </w:tabs>
        <w:spacing w:after="120"/>
        <w:ind w:left="0" w:firstLine="0"/>
      </w:pPr>
      <w:r>
        <w:t xml:space="preserve">проектирне и контролиране изграждането и функционирането на ядрени реактори, ядрени електроцентрали, преработването на ядреното гориво и системи за неговото регенериране - 100%; </w:t>
      </w:r>
    </w:p>
    <w:p w14:paraId="10665F9A" w14:textId="517724E4" w:rsidR="00C52DA2" w:rsidRDefault="00C52DA2" w:rsidP="00C52DA2">
      <w:pPr>
        <w:pStyle w:val="ListParagraph"/>
        <w:numPr>
          <w:ilvl w:val="0"/>
          <w:numId w:val="45"/>
        </w:numPr>
        <w:tabs>
          <w:tab w:val="left" w:pos="284"/>
        </w:tabs>
        <w:spacing w:after="120"/>
        <w:ind w:left="0" w:firstLine="0"/>
      </w:pPr>
      <w:r>
        <w:t xml:space="preserve">проектиране и разработване на ядрено оборудване като активни зони за ядрени реактори, екрани за защита от радиация и подобни апарати и съоръжения за контрол -100%; </w:t>
      </w:r>
    </w:p>
    <w:p w14:paraId="18582FFE" w14:textId="77777777" w:rsidR="00C52DA2" w:rsidRDefault="00C52DA2" w:rsidP="00C52DA2">
      <w:pPr>
        <w:pStyle w:val="ListParagraph"/>
        <w:numPr>
          <w:ilvl w:val="0"/>
          <w:numId w:val="45"/>
        </w:numPr>
        <w:tabs>
          <w:tab w:val="left" w:pos="284"/>
        </w:tabs>
        <w:spacing w:after="120"/>
        <w:ind w:left="0" w:firstLine="0"/>
      </w:pPr>
      <w:r>
        <w:t xml:space="preserve">оценяване на щетите и осигуряване изчисления при морски спасителни операции -100%; </w:t>
      </w:r>
    </w:p>
    <w:p w14:paraId="3B45E508" w14:textId="77777777" w:rsidR="00C52DA2" w:rsidRDefault="00C52DA2" w:rsidP="00C52DA2">
      <w:pPr>
        <w:pStyle w:val="ListParagraph"/>
        <w:numPr>
          <w:ilvl w:val="0"/>
          <w:numId w:val="45"/>
        </w:numPr>
        <w:tabs>
          <w:tab w:val="left" w:pos="284"/>
        </w:tabs>
        <w:spacing w:after="120"/>
        <w:ind w:left="0" w:firstLine="0"/>
      </w:pPr>
      <w:r>
        <w:t>определяне потенциалните рискове и въвеждане на устройства и процедури за безопасност - 100;</w:t>
      </w:r>
    </w:p>
    <w:p w14:paraId="6FFEDA14" w14:textId="3039E8C4" w:rsidR="00F3490A" w:rsidRPr="00692AF1" w:rsidRDefault="00D45E98" w:rsidP="00692AF1">
      <w:pPr>
        <w:spacing w:after="120"/>
        <w:rPr>
          <w:b/>
          <w:bCs/>
        </w:rPr>
      </w:pPr>
      <w:r>
        <w:t xml:space="preserve">От дигиталните задачи, свързани с </w:t>
      </w:r>
      <w:r w:rsidRPr="00D45E98">
        <w:rPr>
          <w:b/>
          <w:bCs/>
        </w:rPr>
        <w:t>информация и данни</w:t>
      </w:r>
      <w:r>
        <w:t xml:space="preserve">, респондентите посочват, че в равна степен са ангажирани със </w:t>
      </w:r>
      <w:r w:rsidRPr="00D45E98">
        <w:rPr>
          <w:i/>
          <w:iCs/>
        </w:rPr>
        <w:t xml:space="preserve">сърфиране, търсене и филтриране на данни </w:t>
      </w:r>
      <w:r>
        <w:t xml:space="preserve">(50%), както и с </w:t>
      </w:r>
      <w:r w:rsidRPr="00D45E98">
        <w:rPr>
          <w:i/>
          <w:iCs/>
        </w:rPr>
        <w:t>анализиране, интерпретиране и критично оценяване на данни, информация и дигитално съдържание</w:t>
      </w:r>
      <w:r>
        <w:t xml:space="preserve"> (50%) и </w:t>
      </w:r>
      <w:r w:rsidRPr="00D45E98">
        <w:rPr>
          <w:i/>
          <w:iCs/>
        </w:rPr>
        <w:t>управление на данни</w:t>
      </w:r>
      <w:r>
        <w:t xml:space="preserve"> (50%). Очакванията са приложимостта на изброените задачи да остане непроменена в следващите 5 години.</w:t>
      </w:r>
    </w:p>
    <w:p w14:paraId="0A5B16C0" w14:textId="5E25C4CA" w:rsidR="00F3490A" w:rsidRPr="00E36164" w:rsidRDefault="00E36164" w:rsidP="00F3490A">
      <w:pPr>
        <w:rPr>
          <w:rFonts w:eastAsia="Calibri" w:cs="Times New Roman"/>
          <w:szCs w:val="22"/>
          <w:lang w:eastAsia="en-US"/>
        </w:rPr>
      </w:pPr>
      <w:r w:rsidRPr="00E36164">
        <w:rPr>
          <w:rFonts w:eastAsia="Calibri" w:cs="Times New Roman"/>
          <w:szCs w:val="22"/>
          <w:lang w:eastAsia="en-US"/>
        </w:rPr>
        <w:t xml:space="preserve">Анкетираните участници в различни неквалифицирани производства участват умерено в </w:t>
      </w:r>
      <w:r w:rsidRPr="00E36164">
        <w:rPr>
          <w:rFonts w:eastAsia="Calibri" w:cs="Times New Roman"/>
          <w:b/>
          <w:bCs/>
          <w:szCs w:val="22"/>
          <w:lang w:eastAsia="en-US"/>
        </w:rPr>
        <w:t>създаването на дигитално съдържание</w:t>
      </w:r>
      <w:r w:rsidRPr="00E36164">
        <w:rPr>
          <w:rFonts w:eastAsia="Calibri" w:cs="Times New Roman"/>
          <w:szCs w:val="22"/>
          <w:lang w:eastAsia="en-US"/>
        </w:rPr>
        <w:t>.</w:t>
      </w:r>
      <w:r>
        <w:rPr>
          <w:rFonts w:eastAsia="Calibri" w:cs="Times New Roman"/>
          <w:szCs w:val="22"/>
          <w:lang w:eastAsia="en-US"/>
        </w:rPr>
        <w:t xml:space="preserve"> Те </w:t>
      </w:r>
      <w:r w:rsidR="00692AF1">
        <w:rPr>
          <w:rFonts w:eastAsia="Calibri" w:cs="Times New Roman"/>
          <w:szCs w:val="22"/>
          <w:lang w:eastAsia="en-US"/>
        </w:rPr>
        <w:t>отбелязват, че както към</w:t>
      </w:r>
      <w:r w:rsidR="00692AF1" w:rsidRPr="00692AF1">
        <w:rPr>
          <w:rFonts w:eastAsia="Calibri" w:cs="Times New Roman"/>
          <w:szCs w:val="22"/>
          <w:lang w:eastAsia="en-US"/>
        </w:rPr>
        <w:t xml:space="preserve"> </w:t>
      </w:r>
      <w:r w:rsidR="00692AF1">
        <w:rPr>
          <w:rFonts w:eastAsia="Calibri" w:cs="Times New Roman"/>
          <w:szCs w:val="22"/>
          <w:lang w:eastAsia="en-US"/>
        </w:rPr>
        <w:t>настоящия момент</w:t>
      </w:r>
      <w:r w:rsidR="00692AF1" w:rsidRPr="00692AF1">
        <w:rPr>
          <w:rFonts w:eastAsia="Calibri" w:cs="Times New Roman"/>
          <w:i/>
          <w:iCs/>
          <w:szCs w:val="22"/>
          <w:lang w:eastAsia="en-US"/>
        </w:rPr>
        <w:t xml:space="preserve"> разработването</w:t>
      </w:r>
      <w:r w:rsidR="00692AF1">
        <w:rPr>
          <w:rFonts w:eastAsia="Calibri" w:cs="Times New Roman"/>
          <w:szCs w:val="22"/>
          <w:lang w:eastAsia="en-US"/>
        </w:rPr>
        <w:t xml:space="preserve"> и </w:t>
      </w:r>
      <w:r w:rsidR="00692AF1" w:rsidRPr="00692AF1">
        <w:rPr>
          <w:rFonts w:eastAsia="Calibri" w:cs="Times New Roman"/>
          <w:i/>
          <w:iCs/>
          <w:szCs w:val="22"/>
          <w:lang w:eastAsia="en-US"/>
        </w:rPr>
        <w:t>интегрирането на дигитално съдържание</w:t>
      </w:r>
      <w:r w:rsidR="00692AF1">
        <w:rPr>
          <w:rFonts w:eastAsia="Calibri" w:cs="Times New Roman"/>
          <w:szCs w:val="22"/>
          <w:lang w:eastAsia="en-US"/>
        </w:rPr>
        <w:t xml:space="preserve"> е приложимо, то ще бъде приложимо и сле 5 години.</w:t>
      </w:r>
    </w:p>
    <w:p w14:paraId="6C0F9B8B" w14:textId="4150E1FC" w:rsidR="00F3490A" w:rsidRDefault="00692AF1" w:rsidP="00F3490A">
      <w:pPr>
        <w:rPr>
          <w:rFonts w:eastAsia="Calibri"/>
          <w:szCs w:val="22"/>
          <w:lang w:eastAsia="en-US"/>
        </w:rPr>
      </w:pPr>
      <w:r w:rsidRPr="00F3490A">
        <w:rPr>
          <w:rFonts w:eastAsia="Calibri"/>
          <w:szCs w:val="22"/>
          <w:lang w:eastAsia="en-US"/>
        </w:rPr>
        <w:t>Анализът на</w:t>
      </w:r>
      <w:r>
        <w:rPr>
          <w:rFonts w:eastAsia="Calibri"/>
          <w:szCs w:val="22"/>
          <w:lang w:eastAsia="en-US"/>
        </w:rPr>
        <w:t xml:space="preserve"> изпълняваните</w:t>
      </w:r>
      <w:r w:rsidRPr="00F3490A">
        <w:rPr>
          <w:rFonts w:eastAsia="Calibri"/>
          <w:szCs w:val="22"/>
          <w:lang w:eastAsia="en-US"/>
        </w:rPr>
        <w:t xml:space="preserve"> </w:t>
      </w:r>
      <w:r>
        <w:rPr>
          <w:rFonts w:eastAsia="Calibri"/>
          <w:szCs w:val="22"/>
          <w:lang w:eastAsia="en-US"/>
        </w:rPr>
        <w:t xml:space="preserve">дейности предопределя необходимите </w:t>
      </w:r>
      <w:r w:rsidRPr="00F3490A">
        <w:rPr>
          <w:rFonts w:eastAsia="Calibri"/>
          <w:szCs w:val="22"/>
          <w:lang w:eastAsia="en-US"/>
        </w:rPr>
        <w:t>специфични дигитални умения</w:t>
      </w:r>
      <w:r w:rsidRPr="00F3490A">
        <w:rPr>
          <w:rFonts w:eastAsia="Calibri" w:cs="Times New Roman"/>
          <w:szCs w:val="22"/>
          <w:lang w:eastAsia="en-US"/>
        </w:rPr>
        <w:t xml:space="preserve"> </w:t>
      </w:r>
      <w:r>
        <w:rPr>
          <w:rFonts w:eastAsia="Calibri" w:cs="Times New Roman"/>
          <w:szCs w:val="22"/>
          <w:lang w:eastAsia="en-US"/>
        </w:rPr>
        <w:t xml:space="preserve">от област на компетентност 5 </w:t>
      </w:r>
      <w:r w:rsidRPr="00F3490A">
        <w:rPr>
          <w:rFonts w:eastAsia="Calibri" w:cs="Times New Roman"/>
          <w:szCs w:val="22"/>
          <w:lang w:eastAsia="en-US"/>
        </w:rPr>
        <w:t>Решаване на проблеми</w:t>
      </w:r>
      <w:r>
        <w:rPr>
          <w:rFonts w:eastAsia="Calibri" w:cs="Times New Roman"/>
          <w:szCs w:val="22"/>
          <w:lang w:eastAsia="en-US"/>
        </w:rPr>
        <w:t>:</w:t>
      </w:r>
      <w:r w:rsidRPr="00F3490A">
        <w:rPr>
          <w:rFonts w:eastAsia="Calibri" w:cs="Times New Roman"/>
          <w:szCs w:val="22"/>
          <w:lang w:eastAsia="en-US"/>
        </w:rPr>
        <w:t xml:space="preserve"> </w:t>
      </w:r>
      <w:r>
        <w:rPr>
          <w:rFonts w:eastAsia="Calibri" w:cs="Times New Roman"/>
          <w:szCs w:val="22"/>
          <w:lang w:eastAsia="en-US"/>
        </w:rPr>
        <w:t xml:space="preserve">5.2. </w:t>
      </w:r>
      <w:r w:rsidRPr="00F3490A">
        <w:rPr>
          <w:rFonts w:eastAsia="Calibri" w:cs="Times New Roman"/>
          <w:szCs w:val="22"/>
          <w:lang w:eastAsia="en-US"/>
        </w:rPr>
        <w:t xml:space="preserve">Идентифициране на нуждите и технологични решения </w:t>
      </w:r>
      <w:r>
        <w:rPr>
          <w:rFonts w:eastAsia="Calibri" w:cs="Times New Roman"/>
          <w:szCs w:val="22"/>
          <w:lang w:eastAsia="en-US"/>
        </w:rPr>
        <w:t xml:space="preserve">и </w:t>
      </w:r>
      <w:r w:rsidRPr="00F3490A">
        <w:rPr>
          <w:rFonts w:eastAsia="Calibri"/>
          <w:szCs w:val="22"/>
          <w:lang w:eastAsia="en-US"/>
        </w:rPr>
        <w:t xml:space="preserve"> </w:t>
      </w:r>
      <w:r>
        <w:rPr>
          <w:rFonts w:eastAsia="Calibri"/>
          <w:szCs w:val="22"/>
          <w:lang w:eastAsia="en-US"/>
        </w:rPr>
        <w:t xml:space="preserve">5.3. </w:t>
      </w:r>
      <w:r w:rsidRPr="00F3490A">
        <w:rPr>
          <w:rFonts w:eastAsia="Calibri" w:cs="Times New Roman"/>
          <w:szCs w:val="22"/>
          <w:lang w:eastAsia="en-US"/>
        </w:rPr>
        <w:t>Креативно използване на дигиталните технологии</w:t>
      </w:r>
      <w:r>
        <w:rPr>
          <w:rFonts w:eastAsia="Calibri" w:cs="Times New Roman"/>
          <w:szCs w:val="22"/>
          <w:lang w:eastAsia="en-US"/>
        </w:rPr>
        <w:t>. Най-силно</w:t>
      </w:r>
      <w:r w:rsidR="00FE01E1">
        <w:rPr>
          <w:rFonts w:eastAsia="Calibri" w:cs="Times New Roman"/>
          <w:szCs w:val="22"/>
          <w:lang w:eastAsia="en-US"/>
        </w:rPr>
        <w:t xml:space="preserve">, изпълняващите длъжността </w:t>
      </w:r>
      <w:r w:rsidR="00FE01E1" w:rsidRPr="00466878">
        <w:rPr>
          <w:b/>
          <w:bCs/>
        </w:rPr>
        <w:t>21496015 Инженер /конструктор/ по специално въоръжение и техника</w:t>
      </w:r>
      <w:r w:rsidR="00FE01E1">
        <w:rPr>
          <w:rFonts w:eastAsia="Calibri" w:cs="Times New Roman"/>
          <w:szCs w:val="22"/>
          <w:lang w:eastAsia="en-US"/>
        </w:rPr>
        <w:t xml:space="preserve"> </w:t>
      </w:r>
      <w:r>
        <w:rPr>
          <w:rFonts w:eastAsia="Calibri" w:cs="Times New Roman"/>
          <w:szCs w:val="22"/>
          <w:lang w:eastAsia="en-US"/>
        </w:rPr>
        <w:t xml:space="preserve">са ангажирани с </w:t>
      </w:r>
      <w:r w:rsidRPr="00FE01E1">
        <w:rPr>
          <w:rFonts w:eastAsia="Calibri" w:cs="Times New Roman"/>
          <w:i/>
          <w:iCs/>
          <w:szCs w:val="22"/>
          <w:lang w:eastAsia="en-US"/>
        </w:rPr>
        <w:t>решаване на технически проблеми</w:t>
      </w:r>
      <w:r>
        <w:rPr>
          <w:rFonts w:eastAsia="Calibri" w:cs="Times New Roman"/>
          <w:szCs w:val="22"/>
          <w:lang w:eastAsia="en-US"/>
        </w:rPr>
        <w:t xml:space="preserve"> (50%) и </w:t>
      </w:r>
      <w:r w:rsidRPr="00FE01E1">
        <w:rPr>
          <w:rFonts w:eastAsia="Calibri" w:cs="Times New Roman"/>
          <w:i/>
          <w:iCs/>
          <w:szCs w:val="22"/>
          <w:lang w:eastAsia="en-US"/>
        </w:rPr>
        <w:t xml:space="preserve">търсене и </w:t>
      </w:r>
      <w:r w:rsidR="00FE01E1" w:rsidRPr="00FE01E1">
        <w:rPr>
          <w:rFonts w:eastAsia="Calibri" w:cs="Times New Roman"/>
          <w:i/>
          <w:iCs/>
          <w:szCs w:val="22"/>
          <w:lang w:eastAsia="en-US"/>
        </w:rPr>
        <w:t>идентифициране на пропуски</w:t>
      </w:r>
      <w:r w:rsidR="00FE01E1">
        <w:rPr>
          <w:rFonts w:eastAsia="Calibri" w:cs="Times New Roman"/>
          <w:szCs w:val="22"/>
          <w:lang w:eastAsia="en-US"/>
        </w:rPr>
        <w:t xml:space="preserve"> в собствената си дигиталната компетентност(50%).</w:t>
      </w:r>
      <w:r>
        <w:rPr>
          <w:rFonts w:eastAsia="Calibri" w:cs="Times New Roman"/>
          <w:szCs w:val="22"/>
          <w:lang w:eastAsia="en-US"/>
        </w:rPr>
        <w:t xml:space="preserve"> </w:t>
      </w:r>
    </w:p>
    <w:p w14:paraId="08E8284E" w14:textId="77777777" w:rsidR="00692AF1" w:rsidRDefault="00692AF1" w:rsidP="00F3490A">
      <w:pPr>
        <w:rPr>
          <w:rFonts w:eastAsia="Calibri"/>
          <w:szCs w:val="22"/>
          <w:lang w:eastAsia="en-US"/>
        </w:rPr>
      </w:pPr>
    </w:p>
    <w:p w14:paraId="4C9AC6F8" w14:textId="77777777" w:rsidR="00692AF1" w:rsidRDefault="00692AF1" w:rsidP="00F3490A">
      <w:pPr>
        <w:rPr>
          <w:rFonts w:eastAsia="Calibri"/>
          <w:szCs w:val="22"/>
          <w:lang w:eastAsia="en-US"/>
        </w:rPr>
      </w:pPr>
    </w:p>
    <w:p w14:paraId="2EF140C9" w14:textId="5DA0F72E" w:rsidR="00F3490A" w:rsidRPr="00F3490A" w:rsidRDefault="00F3490A" w:rsidP="00F3490A">
      <w:pPr>
        <w:spacing w:before="0"/>
        <w:rPr>
          <w:rFonts w:eastAsia="Calibri"/>
          <w:szCs w:val="22"/>
          <w:lang w:eastAsia="en-US"/>
        </w:rPr>
      </w:pPr>
      <w:r w:rsidRPr="00F3490A">
        <w:rPr>
          <w:rFonts w:eastAsia="Calibri"/>
          <w:szCs w:val="22"/>
          <w:lang w:eastAsia="en-US"/>
        </w:rPr>
        <w:t xml:space="preserve">Резултатът от анкетното проучване  посочва потребност   от повишаване на общите и специфични дигитални умения, на изпълняващите длъжността </w:t>
      </w:r>
      <w:r w:rsidRPr="00F3490A">
        <w:rPr>
          <w:rFonts w:eastAsia="Calibri"/>
          <w:b/>
          <w:bCs/>
          <w:szCs w:val="22"/>
          <w:lang w:eastAsia="en-US"/>
        </w:rPr>
        <w:t>21496015 Инженер/конструктор/ по специално въоръжение и техника и  работещи в икономическа дейност/сектор</w:t>
      </w:r>
      <w:r w:rsidRPr="00F3490A">
        <w:rPr>
          <w:rFonts w:eastAsia="Calibri"/>
          <w:szCs w:val="22"/>
          <w:lang w:eastAsia="en-US"/>
        </w:rPr>
        <w:t>, съгласно DigComp 2.1, както следва: 1. Грамотност, свързана с информация и данни, 2. Комуникация и сътрудничество, 4. Безопасност. Установеният недостиг  от дигитални умения, може да се използва,  като изходна база при съставянето на учебното съдържание и разработването на обучителни програми за придобиването на дигитални умения,  така че усвоените от тях умения да отговарят на изискванията на разработените унифицирани профили, съгласно  DigComp 2.1.</w:t>
      </w:r>
    </w:p>
    <w:p w14:paraId="0144DC91" w14:textId="70E68439" w:rsidR="002A38C6" w:rsidRPr="002D33A9" w:rsidRDefault="002A38C6" w:rsidP="002A38C6">
      <w:r w:rsidRPr="00FE01E1">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FE01E1">
        <w:t xml:space="preserve"> </w:t>
      </w:r>
      <w:r w:rsidR="00632C84" w:rsidRPr="00FE01E1">
        <w:t xml:space="preserve">– </w:t>
      </w:r>
      <w:r w:rsidR="00FA51AD" w:rsidRPr="00FE01E1">
        <w:t>държавни институции, браншови организации, работодатели и др.</w:t>
      </w:r>
      <w:r w:rsidR="003C165C" w:rsidRPr="00FE01E1">
        <w:t>.</w:t>
      </w:r>
    </w:p>
    <w:p w14:paraId="7E90FE5D" w14:textId="24B92E10" w:rsidR="002A38C6" w:rsidRPr="00466878" w:rsidRDefault="002A38C6" w:rsidP="002A38C6">
      <w:pPr>
        <w:rPr>
          <w:b/>
          <w:bCs/>
        </w:rPr>
      </w:pPr>
      <w:r>
        <w:t>Н</w:t>
      </w:r>
      <w:r w:rsidRPr="00271090">
        <w:t>астоящото методическо указание е предназначено за:</w:t>
      </w:r>
      <w:r w:rsidR="00CF5BF7">
        <w:rPr>
          <w:lang w:val="en-US"/>
        </w:rPr>
        <w:t xml:space="preserve"> </w:t>
      </w:r>
      <w:r w:rsidR="00CF5BF7">
        <w:t>и</w:t>
      </w:r>
      <w:r w:rsidRPr="00271090">
        <w:t xml:space="preserve">кономическа дейност/ сектор </w:t>
      </w:r>
      <w:r w:rsidR="00466878" w:rsidRPr="00466878">
        <w:rPr>
          <w:b/>
          <w:bCs/>
        </w:rPr>
        <w:t>С32.9 Производство, неквалифицирано</w:t>
      </w:r>
      <w:r w:rsidR="00466878">
        <w:rPr>
          <w:b/>
          <w:bCs/>
        </w:rPr>
        <w:t xml:space="preserve"> </w:t>
      </w:r>
      <w:r w:rsidR="00466878" w:rsidRPr="00466878">
        <w:rPr>
          <w:b/>
          <w:bCs/>
        </w:rPr>
        <w:t>другаде/разнообразни производства, неквалифицирани другаде</w:t>
      </w:r>
      <w:r w:rsidR="00466878">
        <w:rPr>
          <w:b/>
          <w:bCs/>
        </w:rPr>
        <w:t xml:space="preserve"> </w:t>
      </w:r>
      <w:r w:rsidR="00927CD4">
        <w:t xml:space="preserve">и </w:t>
      </w:r>
      <w:r w:rsidR="00927CD4" w:rsidRPr="002D33A9">
        <w:t>се основава на изведен</w:t>
      </w:r>
      <w:r w:rsidR="003C165C">
        <w:t>ата</w:t>
      </w:r>
      <w:r w:rsidR="00927CD4" w:rsidRPr="002D33A9">
        <w:t xml:space="preserve"> </w:t>
      </w:r>
      <w:r w:rsidRPr="002D33A9">
        <w:t>ключов</w:t>
      </w:r>
      <w:r w:rsidR="003C165C">
        <w:t>а</w:t>
      </w:r>
      <w:r w:rsidRPr="002D33A9">
        <w:t xml:space="preserve"> длъжност</w:t>
      </w:r>
      <w:r w:rsidR="00736B5B">
        <w:t>/пофесия</w:t>
      </w:r>
      <w:r w:rsidRPr="002D33A9">
        <w:t>:</w:t>
      </w:r>
      <w:r w:rsidR="003C165C" w:rsidRPr="003C165C">
        <w:rPr>
          <w:b/>
          <w:bCs/>
        </w:rPr>
        <w:t xml:space="preserve"> </w:t>
      </w:r>
      <w:r w:rsidR="00466878" w:rsidRPr="00466878">
        <w:rPr>
          <w:b/>
          <w:bCs/>
        </w:rPr>
        <w:t>21496015 Инженер /конструктор/ по специално въоръжение и техника</w:t>
      </w:r>
      <w:r w:rsidR="003C165C">
        <w:rPr>
          <w:b/>
          <w:bCs/>
        </w:rPr>
        <w:t>.</w:t>
      </w:r>
    </w:p>
    <w:p w14:paraId="618AAC09" w14:textId="5A01B8A4" w:rsidR="00423BA9" w:rsidRPr="007730FC" w:rsidRDefault="00423BA9" w:rsidP="007730FC">
      <w:pPr>
        <w:pStyle w:val="Heading1"/>
      </w:pPr>
      <w:bookmarkStart w:id="6" w:name="_Toc131769826"/>
      <w:r w:rsidRPr="007730FC">
        <w:t>Цел и задачи на методическото указание</w:t>
      </w:r>
      <w:bookmarkEnd w:id="6"/>
    </w:p>
    <w:p w14:paraId="68D32C34" w14:textId="433873B0" w:rsidR="00466878" w:rsidRDefault="00423BA9" w:rsidP="003D3FB2">
      <w:pPr>
        <w:shd w:val="clear" w:color="auto" w:fill="FFFFFF"/>
        <w:ind w:left="60"/>
        <w:rPr>
          <w:b/>
          <w:bCs/>
          <w:iCs/>
        </w:rPr>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3C165C">
        <w:t xml:space="preserve"> </w:t>
      </w:r>
      <w:r w:rsidR="00466878" w:rsidRPr="00466878">
        <w:rPr>
          <w:b/>
          <w:bCs/>
          <w:iCs/>
        </w:rPr>
        <w:t>С32.9 Производство, неквалифицирано</w:t>
      </w:r>
      <w:r w:rsidR="00466878">
        <w:rPr>
          <w:b/>
          <w:bCs/>
          <w:iCs/>
        </w:rPr>
        <w:t xml:space="preserve"> </w:t>
      </w:r>
      <w:r w:rsidR="00466878" w:rsidRPr="00466878">
        <w:rPr>
          <w:b/>
          <w:bCs/>
          <w:iCs/>
        </w:rPr>
        <w:t xml:space="preserve">другаде/разнообразни производства, неквалифицирани другаде, </w:t>
      </w:r>
    </w:p>
    <w:p w14:paraId="5B00D949" w14:textId="255EDC5C" w:rsidR="00423BA9" w:rsidRPr="003D3FB2" w:rsidRDefault="00423BA9" w:rsidP="003D3FB2">
      <w:pPr>
        <w:shd w:val="clear" w:color="auto" w:fill="FFFFFF"/>
        <w:ind w:left="60"/>
      </w:pPr>
      <w:r w:rsidRPr="00271090">
        <w:rPr>
          <w:b/>
          <w:bCs/>
        </w:rPr>
        <w:t xml:space="preserve">Основна задача  </w:t>
      </w:r>
      <w:r w:rsidRPr="00271090">
        <w:t xml:space="preserve">на методическото </w:t>
      </w:r>
      <w:r w:rsidR="00927CD4">
        <w:t xml:space="preserve">указание </w:t>
      </w:r>
      <w:r w:rsidRPr="00271090">
        <w:t>е да</w:t>
      </w:r>
      <w:r w:rsidRPr="00271090">
        <w:rPr>
          <w:b/>
          <w:bCs/>
        </w:rPr>
        <w:t xml:space="preserve"> </w:t>
      </w:r>
      <w:r w:rsidRPr="00271090">
        <w:rPr>
          <w:lang w:eastAsia="en-US"/>
        </w:rPr>
        <w:t xml:space="preserve">осигури прилагането на единен модел за </w:t>
      </w:r>
      <w:r w:rsidRPr="00271090">
        <w:rPr>
          <w:color w:val="323232"/>
          <w:lang w:eastAsia="en-US"/>
        </w:rPr>
        <w:t xml:space="preserve">поддържане, надграждане  и развитие на специфичните  дигитални умения на работещите в </w:t>
      </w:r>
      <w:r w:rsidR="003D3FB2">
        <w:rPr>
          <w:color w:val="323232"/>
          <w:lang w:eastAsia="en-US"/>
        </w:rPr>
        <w:t>икономическа дейност/</w:t>
      </w:r>
      <w:r w:rsidRPr="00271090">
        <w:rPr>
          <w:color w:val="323232"/>
          <w:lang w:eastAsia="en-US"/>
        </w:rPr>
        <w:t>сектор</w:t>
      </w:r>
      <w:r w:rsidR="003D3FB2">
        <w:rPr>
          <w:color w:val="323232"/>
          <w:lang w:eastAsia="en-US"/>
        </w:rPr>
        <w:t xml:space="preserve"> </w:t>
      </w:r>
      <w:r w:rsidR="00466878" w:rsidRPr="00466878">
        <w:rPr>
          <w:b/>
          <w:bCs/>
        </w:rPr>
        <w:t>С32.9 Производство, неквалифицирано</w:t>
      </w:r>
      <w:r w:rsidR="00466878">
        <w:rPr>
          <w:b/>
          <w:bCs/>
        </w:rPr>
        <w:t xml:space="preserve"> </w:t>
      </w:r>
      <w:r w:rsidR="00466878" w:rsidRPr="00466878">
        <w:rPr>
          <w:b/>
          <w:bCs/>
        </w:rPr>
        <w:t>другаде/разнообразни производства, неквалифицирани другаде</w:t>
      </w:r>
      <w:r w:rsidRPr="00271090">
        <w:rPr>
          <w:color w:val="323232"/>
          <w:lang w:eastAsia="en-US"/>
        </w:rPr>
        <w:t>, чрез:</w:t>
      </w:r>
    </w:p>
    <w:p w14:paraId="4A9C99D0" w14:textId="01BF5711" w:rsidR="00423BA9" w:rsidRPr="003D3FB2" w:rsidRDefault="00423BA9" w:rsidP="003D3FB2">
      <w:pPr>
        <w:numPr>
          <w:ilvl w:val="0"/>
          <w:numId w:val="31"/>
        </w:numPr>
        <w:tabs>
          <w:tab w:val="left" w:pos="284"/>
        </w:tabs>
        <w:spacing w:before="0"/>
        <w:contextualSpacing/>
        <w:rPr>
          <w:color w:val="323232"/>
          <w:lang w:eastAsia="en-US"/>
        </w:rPr>
      </w:pPr>
      <w:r w:rsidRPr="00271090">
        <w:lastRenderedPageBreak/>
        <w:t>механизъм за текущ мониторинг върху нивото на дигиталните  умения на заетите лица в съответната икономическа дейност</w:t>
      </w:r>
      <w:bookmarkStart w:id="7" w:name="_Hlk127265515"/>
      <w:r w:rsidRPr="00271090">
        <w:t xml:space="preserve"> за  установяване на дефицитите и дисбалансите, в случай че такива възникнат</w:t>
      </w:r>
      <w:bookmarkEnd w:id="7"/>
      <w:r w:rsidRPr="00271090">
        <w:t>;</w:t>
      </w:r>
    </w:p>
    <w:p w14:paraId="247BDA81" w14:textId="0C5A9655" w:rsidR="003D3FB2" w:rsidRPr="003D3FB2" w:rsidRDefault="003D3FB2" w:rsidP="003D3FB2">
      <w:pPr>
        <w:pStyle w:val="ListParagraph"/>
        <w:numPr>
          <w:ilvl w:val="0"/>
          <w:numId w:val="31"/>
        </w:numPr>
        <w:spacing w:before="0"/>
        <w:rPr>
          <w:color w:val="323232"/>
          <w:lang w:eastAsia="en-US"/>
        </w:rPr>
      </w:pPr>
      <w:r w:rsidRPr="003D3FB2">
        <w:rPr>
          <w:color w:val="323232"/>
          <w:lang w:eastAsia="en-US"/>
        </w:rPr>
        <w:t xml:space="preserve">изготвяне на анализ на резултатите от проведения мониторинг; </w:t>
      </w:r>
    </w:p>
    <w:p w14:paraId="5DBDFC33" w14:textId="191118CC" w:rsidR="00423BA9" w:rsidRPr="00271090" w:rsidRDefault="00423BA9" w:rsidP="003D3FB2">
      <w:pPr>
        <w:numPr>
          <w:ilvl w:val="0"/>
          <w:numId w:val="31"/>
        </w:numPr>
        <w:tabs>
          <w:tab w:val="left" w:pos="284"/>
        </w:tabs>
        <w:spacing w:before="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3D3FB2">
      <w:pPr>
        <w:numPr>
          <w:ilvl w:val="0"/>
          <w:numId w:val="32"/>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0859CEE5" w14:textId="77777777" w:rsidR="003D3FB2" w:rsidRPr="003D3FB2" w:rsidRDefault="00423BA9" w:rsidP="003D3FB2">
      <w:pPr>
        <w:numPr>
          <w:ilvl w:val="0"/>
          <w:numId w:val="31"/>
        </w:numPr>
        <w:tabs>
          <w:tab w:val="left" w:pos="284"/>
        </w:tabs>
        <w:spacing w:before="0" w:after="16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r w:rsidR="003D3FB2">
        <w:t>;</w:t>
      </w:r>
    </w:p>
    <w:p w14:paraId="4CFE1287" w14:textId="2312191A" w:rsidR="003D3FB2" w:rsidRPr="00271090" w:rsidRDefault="003D3FB2" w:rsidP="003D3FB2">
      <w:pPr>
        <w:numPr>
          <w:ilvl w:val="0"/>
          <w:numId w:val="31"/>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550B5F" w14:textId="4A199092" w:rsidR="00423BA9" w:rsidRPr="00271090" w:rsidRDefault="00423BA9" w:rsidP="003D3FB2">
      <w:pPr>
        <w:tabs>
          <w:tab w:val="left" w:pos="284"/>
        </w:tabs>
        <w:spacing w:before="0"/>
        <w:ind w:left="480"/>
        <w:contextualSpacing/>
        <w:rPr>
          <w:color w:val="323232"/>
          <w:lang w:eastAsia="en-US"/>
        </w:rPr>
      </w:pPr>
    </w:p>
    <w:p w14:paraId="59EB23AA" w14:textId="200AEF03" w:rsidR="00A355E3" w:rsidRPr="00423BA9" w:rsidRDefault="00A355E3" w:rsidP="00423BA9">
      <w:pPr>
        <w:pStyle w:val="Heading1"/>
      </w:pPr>
      <w:bookmarkStart w:id="8" w:name="_Toc131769827"/>
      <w:bookmarkEnd w:id="2"/>
      <w:r w:rsidRPr="00423BA9">
        <w:t xml:space="preserve">Технология </w:t>
      </w:r>
      <w:r w:rsidR="00C34650" w:rsidRPr="00423BA9">
        <w:t>за поддържане</w:t>
      </w:r>
      <w:r w:rsidR="002F5496">
        <w:t xml:space="preserve">, </w:t>
      </w:r>
      <w:r w:rsidR="00C34650" w:rsidRPr="00423BA9">
        <w:t xml:space="preserve">надграждане </w:t>
      </w:r>
      <w:r w:rsidR="002F5496">
        <w:t xml:space="preserve">и развитие </w:t>
      </w:r>
      <w:r w:rsidR="00C34650" w:rsidRPr="00423BA9">
        <w:t>на специфичните дигитални умения</w:t>
      </w:r>
      <w:bookmarkEnd w:id="8"/>
      <w:r w:rsidR="00C34650" w:rsidRPr="00423BA9">
        <w:t xml:space="preserve"> </w:t>
      </w:r>
    </w:p>
    <w:p w14:paraId="27C3B10F" w14:textId="50BA154A" w:rsidR="00C34650" w:rsidRPr="006D07DD" w:rsidRDefault="00CB31F0" w:rsidP="00C34650">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3C165C">
        <w:t xml:space="preserve"> </w:t>
      </w:r>
      <w:r w:rsidR="00466878" w:rsidRPr="00466878">
        <w:rPr>
          <w:b/>
          <w:bCs/>
        </w:rPr>
        <w:t>С32.9 Производство, неквалифицирано</w:t>
      </w:r>
      <w:r w:rsidR="00466878">
        <w:rPr>
          <w:b/>
          <w:bCs/>
        </w:rPr>
        <w:t xml:space="preserve"> </w:t>
      </w:r>
      <w:r w:rsidR="00466878" w:rsidRPr="00466878">
        <w:rPr>
          <w:b/>
          <w:bCs/>
        </w:rPr>
        <w:t>другаде/разнообразни производства, неквалифицирани другаде</w:t>
      </w:r>
      <w:r w:rsidR="00466878">
        <w:rPr>
          <w:b/>
          <w:bCs/>
        </w:rPr>
        <w:t xml:space="preserve">, </w:t>
      </w:r>
      <w:r w:rsidRPr="006D07DD">
        <w:t xml:space="preserve"> </w:t>
      </w:r>
      <w:r w:rsidR="00140A2F" w:rsidRPr="006D07DD">
        <w:t>изисква</w:t>
      </w:r>
      <w:r w:rsidRPr="006D07DD">
        <w:t xml:space="preserve"> изпълнението на следните стъпки:</w:t>
      </w:r>
    </w:p>
    <w:p w14:paraId="6B0D12A1" w14:textId="532C63D9" w:rsidR="00CB31F0" w:rsidRPr="006D07DD" w:rsidRDefault="00BF0FB8" w:rsidP="00CB31F0">
      <w:pPr>
        <w:pStyle w:val="ListParagraph"/>
        <w:numPr>
          <w:ilvl w:val="0"/>
          <w:numId w:val="30"/>
        </w:numPr>
      </w:pPr>
      <w:r w:rsidRPr="006D07DD">
        <w:t>разработване на механизъм за текущ мониторинг върху нивото на специфичните дигитални умения;</w:t>
      </w:r>
    </w:p>
    <w:p w14:paraId="2E8F32A6" w14:textId="4F3E1E46" w:rsidR="00BF0FB8" w:rsidRPr="006D07DD" w:rsidRDefault="00324FE6" w:rsidP="00BF0FB8">
      <w:pPr>
        <w:pStyle w:val="ListParagraph"/>
        <w:numPr>
          <w:ilvl w:val="0"/>
          <w:numId w:val="30"/>
        </w:numPr>
      </w:pPr>
      <w:bookmarkStart w:id="9" w:name="_Hlk129010106"/>
      <w:r>
        <w:t xml:space="preserve">изготвяне </w:t>
      </w:r>
      <w:r w:rsidR="00BF0FB8" w:rsidRPr="006D07DD">
        <w:t xml:space="preserve">на анализ на резултатите от проведения мониторинг; </w:t>
      </w:r>
    </w:p>
    <w:bookmarkEnd w:id="9"/>
    <w:p w14:paraId="41D55313" w14:textId="77777777" w:rsidR="003C165C" w:rsidRDefault="00BF0FB8" w:rsidP="003C165C">
      <w:pPr>
        <w:pStyle w:val="ListParagraph"/>
        <w:numPr>
          <w:ilvl w:val="0"/>
          <w:numId w:val="30"/>
        </w:numPr>
      </w:pPr>
      <w:r w:rsidRPr="003C165C">
        <w:t>актуализиране на унифицираните профили на дигиталните умения</w:t>
      </w:r>
      <w:r w:rsidR="00324FE6" w:rsidRPr="003C165C">
        <w:t xml:space="preserve"> по ключови професии/длъжности</w:t>
      </w:r>
      <w:r w:rsidRPr="003C165C">
        <w:t xml:space="preserve">; </w:t>
      </w:r>
    </w:p>
    <w:p w14:paraId="0B4AAF13" w14:textId="77777777" w:rsidR="003C165C" w:rsidRDefault="00BF0FB8" w:rsidP="003C165C">
      <w:pPr>
        <w:pStyle w:val="ListParagraph"/>
        <w:numPr>
          <w:ilvl w:val="0"/>
          <w:numId w:val="30"/>
        </w:numPr>
      </w:pPr>
      <w:r w:rsidRPr="006D07DD">
        <w:t xml:space="preserve">актуализиране на програмите за неформално обучение за придобиване и развитие на специфичните дигитални умения; </w:t>
      </w:r>
    </w:p>
    <w:p w14:paraId="4454621C" w14:textId="50F7F70E" w:rsidR="00324FE6" w:rsidRPr="003C165C" w:rsidRDefault="00BF0FB8" w:rsidP="003C165C">
      <w:pPr>
        <w:pStyle w:val="ListParagraph"/>
        <w:numPr>
          <w:ilvl w:val="0"/>
          <w:numId w:val="30"/>
        </w:numPr>
      </w:pPr>
      <w:r w:rsidRPr="003C165C">
        <w:t>адаптиране на секторната квалификационна рамка</w:t>
      </w:r>
      <w:r w:rsidR="003C165C">
        <w:t>.</w:t>
      </w:r>
      <w:r w:rsidR="00324FE6" w:rsidRPr="003C165C">
        <w:t xml:space="preserve"> </w:t>
      </w:r>
    </w:p>
    <w:p w14:paraId="24D2E176" w14:textId="29D7C681" w:rsidR="00BE09B0" w:rsidRPr="00E37CB3" w:rsidRDefault="00E37CB3" w:rsidP="003C165C">
      <w:pPr>
        <w:pStyle w:val="Heading2"/>
        <w:spacing w:before="240"/>
        <w:ind w:left="0"/>
      </w:pPr>
      <w:bookmarkStart w:id="10" w:name="_Toc131769828"/>
      <w:r w:rsidRPr="00423BA9">
        <w:t>Механизъм</w:t>
      </w:r>
      <w:r w:rsidRPr="00E37CB3">
        <w:t xml:space="preserve"> за текущ мониторинг </w:t>
      </w:r>
      <w:r w:rsidR="00543927">
        <w:t>на</w:t>
      </w:r>
      <w:r w:rsidRPr="00E37CB3">
        <w:t xml:space="preserve"> нивото на </w:t>
      </w:r>
      <w:r w:rsidR="005213B2" w:rsidRPr="00E37CB3">
        <w:t xml:space="preserve">специфичните </w:t>
      </w:r>
      <w:r w:rsidRPr="00E37CB3">
        <w:t>дигитални умения</w:t>
      </w:r>
      <w:bookmarkEnd w:id="10"/>
      <w:r w:rsidRPr="00E37CB3">
        <w:t xml:space="preserve"> </w:t>
      </w:r>
    </w:p>
    <w:p w14:paraId="05F0AD05" w14:textId="0C51E2DC"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11" w:name="_Hlk126524722"/>
      <w:r w:rsidRPr="00EC3A41">
        <w:t>икономическа</w:t>
      </w:r>
      <w:r w:rsidR="00C41C62" w:rsidRPr="006D07DD">
        <w:t>та</w:t>
      </w:r>
      <w:r w:rsidRPr="00EC3A41">
        <w:t xml:space="preserve"> дейност/секто</w:t>
      </w:r>
      <w:bookmarkEnd w:id="11"/>
      <w:r>
        <w:t>р</w:t>
      </w:r>
      <w:r w:rsidR="003D3FB2">
        <w:t xml:space="preserve"> </w:t>
      </w:r>
      <w:r w:rsidR="00466878" w:rsidRPr="00466878">
        <w:rPr>
          <w:b/>
          <w:bCs/>
        </w:rPr>
        <w:t>С32.9 Производство, неквалифицирано</w:t>
      </w:r>
      <w:r w:rsidR="00466878">
        <w:rPr>
          <w:b/>
          <w:bCs/>
        </w:rPr>
        <w:t xml:space="preserve"> </w:t>
      </w:r>
      <w:r w:rsidR="00466878" w:rsidRPr="00466878">
        <w:rPr>
          <w:b/>
          <w:bCs/>
        </w:rPr>
        <w:t>другаде/разнообразни производства, неквалифицирани другаде</w:t>
      </w:r>
      <w:r>
        <w:t>.</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lastRenderedPageBreak/>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w:t>
      </w:r>
      <w:r w:rsidR="00590C1E">
        <w:t>ата</w:t>
      </w:r>
      <w:r w:rsidR="00313D03" w:rsidRPr="00D4731F">
        <w:t xml:space="preserve"> </w:t>
      </w:r>
      <w:r w:rsidR="00D4731F" w:rsidRPr="00D4731F">
        <w:t>ключов</w:t>
      </w:r>
      <w:r w:rsidR="00590C1E">
        <w:t>а</w:t>
      </w:r>
      <w:r w:rsidR="00D4731F" w:rsidRPr="00D4731F">
        <w:t xml:space="preserve"> длъжност</w:t>
      </w:r>
      <w:r w:rsidR="00590C1E">
        <w:t xml:space="preserve"> </w:t>
      </w:r>
      <w:r w:rsidR="00466878" w:rsidRPr="00466878">
        <w:rPr>
          <w:b/>
          <w:bCs/>
        </w:rPr>
        <w:t>21496015 Инженер /конструктор/ по специално въоръжение и техника</w:t>
      </w:r>
      <w:r w:rsidR="00466878" w:rsidRPr="00D4731F">
        <w:t xml:space="preserve"> </w:t>
      </w:r>
      <w:r w:rsidR="00313D03" w:rsidRPr="00D4731F">
        <w:t>в Дейност 1 на проект „Бъди дигитален“.</w:t>
      </w:r>
      <w:r w:rsidR="00435CF4" w:rsidRPr="00D4731F">
        <w:t xml:space="preserve"> </w:t>
      </w:r>
    </w:p>
    <w:p w14:paraId="2725B5FF" w14:textId="65CFFE00"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w:t>
      </w:r>
      <w:r w:rsidR="00590C1E">
        <w:t>я</w:t>
      </w:r>
      <w:r w:rsidR="00DA6399" w:rsidRPr="006D07DD">
        <w:t xml:space="preserve"> унифициран профил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313B7691" w:rsidR="00BE09B0" w:rsidRPr="005238E9" w:rsidRDefault="003C165C" w:rsidP="001E13A2">
      <w:pPr>
        <w:pStyle w:val="ListParagraph"/>
        <w:numPr>
          <w:ilvl w:val="0"/>
          <w:numId w:val="2"/>
        </w:numPr>
      </w:pPr>
      <w:r>
        <w:t xml:space="preserve">Отпаднали </w:t>
      </w:r>
      <w:r w:rsidR="00BE09B0" w:rsidRPr="005238E9">
        <w:t>специфични дигитални умения</w:t>
      </w:r>
      <w:r>
        <w:t>;</w:t>
      </w:r>
    </w:p>
    <w:p w14:paraId="385F66AC" w14:textId="5FF777B3" w:rsidR="00BE09B0" w:rsidRPr="005238E9" w:rsidRDefault="003C165C" w:rsidP="001E13A2">
      <w:pPr>
        <w:pStyle w:val="ListParagraph"/>
        <w:numPr>
          <w:ilvl w:val="0"/>
          <w:numId w:val="2"/>
        </w:numPr>
      </w:pPr>
      <w:r>
        <w:t xml:space="preserve">Необходимост от повишаване нивото на </w:t>
      </w:r>
      <w:r w:rsidR="00BE09B0" w:rsidRPr="005238E9">
        <w:t>специфични дигитални умения</w:t>
      </w:r>
      <w:r>
        <w:t>;</w:t>
      </w:r>
    </w:p>
    <w:p w14:paraId="3EF2B5AB" w14:textId="5F69B718" w:rsidR="00BE09B0" w:rsidRDefault="00BE09B0" w:rsidP="001E13A2">
      <w:pPr>
        <w:pStyle w:val="ListParagraph"/>
        <w:numPr>
          <w:ilvl w:val="0"/>
          <w:numId w:val="2"/>
        </w:numPr>
      </w:pPr>
      <w:r w:rsidRPr="005238E9">
        <w:t xml:space="preserve">Възникнала </w:t>
      </w:r>
      <w:r w:rsidR="003C165C">
        <w:t>необходимост</w:t>
      </w:r>
      <w:r w:rsidRPr="005238E9">
        <w:t xml:space="preserve"> от нови специфични дигитални умения</w:t>
      </w:r>
      <w:r w:rsidR="003C165C">
        <w:t>;</w:t>
      </w:r>
    </w:p>
    <w:p w14:paraId="00302B28" w14:textId="027025FD" w:rsidR="00BE09B0" w:rsidRPr="00CD2D8A" w:rsidRDefault="00BE09B0" w:rsidP="00C34AA7">
      <w:pPr>
        <w:pStyle w:val="ListParagraph"/>
        <w:numPr>
          <w:ilvl w:val="0"/>
          <w:numId w:val="2"/>
        </w:numPr>
        <w:spacing w:after="240"/>
        <w:ind w:left="714" w:hanging="357"/>
      </w:pPr>
      <w:r w:rsidRPr="00CD2D8A">
        <w:t xml:space="preserve">Възникнали нови ключови за сектора </w:t>
      </w:r>
      <w:r w:rsidR="00D5412E" w:rsidRPr="00CD2D8A">
        <w:t>длъжности/</w:t>
      </w:r>
      <w:r w:rsidRPr="00CD2D8A">
        <w:t>професии.</w:t>
      </w:r>
    </w:p>
    <w:p w14:paraId="0A57780B" w14:textId="25E81605" w:rsidR="00F84AEE" w:rsidRPr="00736B5B" w:rsidRDefault="00F84AEE" w:rsidP="00736B5B">
      <w:pPr>
        <w:rPr>
          <w:b/>
          <w:bCs/>
        </w:rPr>
      </w:pPr>
      <w:r w:rsidRPr="00CD2D8A">
        <w:t xml:space="preserve">Обект на настоящото указание не е определянето на нови ключови длъжности/професии в икономическата </w:t>
      </w:r>
      <w:r w:rsidR="00590C1E" w:rsidRPr="00EC3A41">
        <w:t>дейност/секто</w:t>
      </w:r>
      <w:r w:rsidR="00590C1E">
        <w:t xml:space="preserve">р </w:t>
      </w:r>
      <w:bookmarkStart w:id="12" w:name="_Hlk129015027"/>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Pr="00CD2D8A">
        <w:t xml:space="preserve">, </w:t>
      </w:r>
      <w:bookmarkEnd w:id="12"/>
      <w:r w:rsidRPr="00CD2D8A">
        <w:t xml:space="preserve">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0B63C7B4"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17769D" w:rsidRPr="003C165C">
        <w:t xml:space="preserve">възложителят </w:t>
      </w:r>
      <w:r w:rsidR="0017769D">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дигитали умения на секторно ниво, който </w:t>
      </w:r>
      <w:r w:rsidRPr="006B53FD">
        <w:t>извърш</w:t>
      </w:r>
      <w:r w:rsidR="0006248C">
        <w:t>ва</w:t>
      </w:r>
      <w:r w:rsidRPr="006B53FD">
        <w:t xml:space="preserve"> следното:</w:t>
      </w:r>
    </w:p>
    <w:p w14:paraId="3167AE6D" w14:textId="1C1AAF18" w:rsidR="00214245" w:rsidRPr="003C165C" w:rsidRDefault="00324FE6" w:rsidP="009025B8">
      <w:pPr>
        <w:pStyle w:val="ListParagraph"/>
        <w:numPr>
          <w:ilvl w:val="0"/>
          <w:numId w:val="29"/>
        </w:numPr>
        <w:spacing w:after="240"/>
      </w:pPr>
      <w:r w:rsidRPr="003C165C">
        <w:t xml:space="preserve">избира </w:t>
      </w:r>
      <w:r w:rsidR="00214245" w:rsidRPr="003C165C">
        <w:t xml:space="preserve"> </w:t>
      </w:r>
      <w:r w:rsidR="00214245" w:rsidRPr="003C165C">
        <w:rPr>
          <w:b/>
        </w:rPr>
        <w:t>инструменти</w:t>
      </w:r>
      <w:r w:rsidR="00214245" w:rsidRPr="003C165C">
        <w:t xml:space="preserve"> за </w:t>
      </w:r>
      <w:r w:rsidRPr="003C165C">
        <w:t xml:space="preserve"> провеждане на мониторинга</w:t>
      </w:r>
      <w:r w:rsidR="00FB344C" w:rsidRPr="003C165C">
        <w:t>/</w:t>
      </w:r>
      <w:r w:rsidRPr="003C165C">
        <w:t xml:space="preserve"> </w:t>
      </w:r>
      <w:r w:rsidR="00214245" w:rsidRPr="003C165C">
        <w:t xml:space="preserve">проучването; </w:t>
      </w:r>
    </w:p>
    <w:p w14:paraId="17E0451C" w14:textId="418789E2" w:rsidR="00214245" w:rsidRPr="006D07DD" w:rsidRDefault="00214245" w:rsidP="00214245">
      <w:pPr>
        <w:pStyle w:val="ListParagraph"/>
        <w:numPr>
          <w:ilvl w:val="0"/>
          <w:numId w:val="29"/>
        </w:numPr>
        <w:spacing w:after="240"/>
      </w:pPr>
      <w:r w:rsidRPr="006D07DD">
        <w:lastRenderedPageBreak/>
        <w:t>разработва</w:t>
      </w:r>
      <w:r w:rsidR="00324FE6">
        <w:t xml:space="preserve"> </w:t>
      </w:r>
      <w:r w:rsidRPr="006D07DD">
        <w:t xml:space="preserve">необходимите </w:t>
      </w:r>
      <w:r w:rsidRPr="006D07DD">
        <w:rPr>
          <w:b/>
        </w:rPr>
        <w:t>материали</w:t>
      </w:r>
      <w:r w:rsidRPr="006D07DD">
        <w:t xml:space="preserve"> за провеждане на мониторинга – анкетни карти, тестове, сценарии за интервюта и т.н.</w:t>
      </w:r>
    </w:p>
    <w:p w14:paraId="0E6D4019" w14:textId="121B9E73" w:rsidR="00214245" w:rsidRPr="006D07DD" w:rsidRDefault="00214245" w:rsidP="00214245">
      <w:pPr>
        <w:pStyle w:val="ListParagraph"/>
        <w:numPr>
          <w:ilvl w:val="0"/>
          <w:numId w:val="29"/>
        </w:numPr>
        <w:spacing w:after="240"/>
      </w:pPr>
      <w:r w:rsidRPr="003C165C">
        <w:t>изготвя</w:t>
      </w:r>
      <w:r w:rsidR="00FB344C" w:rsidRPr="003C165C">
        <w:t xml:space="preserve"> </w:t>
      </w:r>
      <w:r w:rsidRPr="003C165C">
        <w:rPr>
          <w:b/>
        </w:rPr>
        <w:t>план и график</w:t>
      </w:r>
      <w:r w:rsidRPr="003C165C">
        <w:t xml:space="preserve"> </w:t>
      </w:r>
      <w:r w:rsidR="00FB344C" w:rsidRPr="003C165C">
        <w:t>на провеждане на мониторинга/</w:t>
      </w:r>
      <w:r w:rsidRPr="003C165C">
        <w:t>на проучването</w:t>
      </w:r>
      <w:r w:rsidR="00053F14" w:rsidRPr="003C165C">
        <w:t xml:space="preserve">, като </w:t>
      </w:r>
      <w:r w:rsidR="00053F14" w:rsidRPr="006D07DD">
        <w:t xml:space="preserve"> </w:t>
      </w:r>
      <w:r w:rsidRPr="006D07DD">
        <w:t>определ</w:t>
      </w:r>
      <w:r w:rsidR="00B562C2" w:rsidRPr="006D07DD">
        <w:t>и</w:t>
      </w:r>
      <w:r w:rsidR="0036026E" w:rsidRPr="006D07DD">
        <w:t xml:space="preserve"> </w:t>
      </w:r>
      <w:r w:rsidRPr="006D07DD">
        <w:t>броя</w:t>
      </w:r>
      <w:r w:rsidR="00053F14" w:rsidRPr="006D07DD">
        <w:t>т</w:t>
      </w:r>
      <w:r w:rsidRPr="006D07DD">
        <w:t xml:space="preserve"> на анкетьорите/интервюерите/водещите… (researchers, изследователи), броя</w:t>
      </w:r>
      <w:r w:rsidR="00053F14" w:rsidRPr="006D07DD">
        <w:t>т</w:t>
      </w:r>
      <w:r w:rsidRPr="006D07DD">
        <w:t xml:space="preserve"> на обхванатите в проучването</w:t>
      </w:r>
      <w:r w:rsidR="0036026E" w:rsidRPr="006D07DD">
        <w:t xml:space="preserve">, </w:t>
      </w:r>
      <w:r w:rsidRPr="006D07DD">
        <w:t>крайния</w:t>
      </w:r>
      <w:r w:rsidR="00053F14" w:rsidRPr="006D07DD">
        <w:t>т</w:t>
      </w:r>
      <w:r w:rsidRPr="006D07DD">
        <w:t xml:space="preserve"> срок за получаване на резултатите;</w:t>
      </w:r>
    </w:p>
    <w:p w14:paraId="4FF2C02C" w14:textId="6404AD70" w:rsidR="0036026E" w:rsidRPr="006D07DD" w:rsidRDefault="00214245" w:rsidP="00214245">
      <w:pPr>
        <w:pStyle w:val="ListParagraph"/>
        <w:numPr>
          <w:ilvl w:val="0"/>
          <w:numId w:val="29"/>
        </w:numPr>
        <w:spacing w:after="240"/>
      </w:pPr>
      <w:r w:rsidRPr="003C165C">
        <w:t>сформира</w:t>
      </w:r>
      <w:r w:rsidR="00FB344C" w:rsidRPr="003C165C">
        <w:t xml:space="preserve"> </w:t>
      </w:r>
      <w:r w:rsidRPr="003C165C">
        <w:rPr>
          <w:b/>
        </w:rPr>
        <w:t>екип</w:t>
      </w:r>
      <w:r w:rsidRPr="003C165C">
        <w:t xml:space="preserve">, който </w:t>
      </w:r>
      <w:r w:rsidR="0036026E" w:rsidRPr="003C165C">
        <w:t>да</w:t>
      </w:r>
      <w:r w:rsidRPr="003C165C">
        <w:t xml:space="preserve"> провежда </w:t>
      </w:r>
      <w:r w:rsidR="00FB344C" w:rsidRPr="003C165C">
        <w:t>мониторинга/</w:t>
      </w:r>
      <w:r w:rsidRPr="003C165C">
        <w:t>проучването</w:t>
      </w:r>
      <w:r w:rsidR="0036026E" w:rsidRPr="003C165C">
        <w:t xml:space="preserve"> – </w:t>
      </w:r>
      <w:r w:rsidRPr="003C165C">
        <w:t xml:space="preserve">определяне на броя на необходимите изследователи, тяхната квалификация и опит </w:t>
      </w:r>
      <w:r w:rsidR="0036026E" w:rsidRPr="003C165C">
        <w:t>(з</w:t>
      </w:r>
      <w:r w:rsidRPr="003C165C">
        <w:t xml:space="preserve">а </w:t>
      </w:r>
      <w:r w:rsidRPr="006D07DD">
        <w:t>оптимизиране на про</w:t>
      </w:r>
      <w:r w:rsidR="0036026E" w:rsidRPr="006D07DD">
        <w:t>цеса на проучването се препоръчва</w:t>
      </w:r>
      <w:r w:rsidRPr="006D07DD">
        <w:t xml:space="preserve"> да се използват същите анкетьори, </w:t>
      </w:r>
      <w:r w:rsidR="0036026E" w:rsidRPr="006D07DD">
        <w:t>които са участвали в</w:t>
      </w:r>
      <w:r w:rsidRPr="006D07DD">
        <w:t xml:space="preserve"> предишн</w:t>
      </w:r>
      <w:r w:rsidR="00632C84">
        <w:t>и</w:t>
      </w:r>
      <w:r w:rsidRPr="006D07DD">
        <w:t xml:space="preserve"> проучван</w:t>
      </w:r>
      <w:r w:rsidR="00632C84">
        <w:t>ия</w:t>
      </w:r>
      <w:r w:rsidR="0036026E" w:rsidRPr="006D07DD">
        <w:t>);</w:t>
      </w:r>
    </w:p>
    <w:p w14:paraId="697A63E0" w14:textId="6CED9254" w:rsidR="0036026E" w:rsidRPr="006D07DD" w:rsidRDefault="00FB344C" w:rsidP="00214245">
      <w:pPr>
        <w:pStyle w:val="ListParagraph"/>
        <w:numPr>
          <w:ilvl w:val="0"/>
          <w:numId w:val="29"/>
        </w:numPr>
        <w:spacing w:after="240"/>
      </w:pPr>
      <w:r w:rsidRPr="003C165C">
        <w:t>подготвя</w:t>
      </w:r>
      <w:r>
        <w:t xml:space="preserve"> </w:t>
      </w:r>
      <w:r w:rsidR="0036026E" w:rsidRPr="006D07DD">
        <w:t>екипа</w:t>
      </w:r>
      <w:r w:rsidR="00214245" w:rsidRPr="006D07DD">
        <w:t xml:space="preserve"> от изследователи</w:t>
      </w:r>
      <w:r w:rsidR="0036026E" w:rsidRPr="006D07DD">
        <w:t xml:space="preserve"> – разучаване на </w:t>
      </w:r>
      <w:r w:rsidR="00214245" w:rsidRPr="006D07DD">
        <w:t xml:space="preserve"> подготвените материали</w:t>
      </w:r>
      <w:r w:rsidR="00B562C2" w:rsidRPr="006D07DD">
        <w:t xml:space="preserve"> за провеждане на мониторинга</w:t>
      </w:r>
      <w:r w:rsidR="0036026E" w:rsidRPr="006D07DD">
        <w:t xml:space="preserve">, организиране и провеждане на </w:t>
      </w:r>
      <w:r w:rsidR="00214245" w:rsidRPr="006D07DD">
        <w:rPr>
          <w:b/>
        </w:rPr>
        <w:t>кратко обучение</w:t>
      </w:r>
      <w:r w:rsidR="00214245" w:rsidRPr="006D07DD">
        <w:t xml:space="preserve"> на изследователите</w:t>
      </w:r>
      <w:r w:rsidR="0036026E" w:rsidRPr="006D07DD">
        <w:t>;</w:t>
      </w:r>
    </w:p>
    <w:p w14:paraId="4C3AA737" w14:textId="04606A77" w:rsidR="00214245" w:rsidRDefault="0036026E" w:rsidP="00214245">
      <w:pPr>
        <w:pStyle w:val="ListParagraph"/>
        <w:numPr>
          <w:ilvl w:val="0"/>
          <w:numId w:val="29"/>
        </w:numPr>
        <w:spacing w:after="240"/>
      </w:pPr>
      <w:r w:rsidRPr="006D07DD">
        <w:t>о</w:t>
      </w:r>
      <w:r w:rsidR="00214245" w:rsidRPr="006D07DD">
        <w:t>пределя</w:t>
      </w:r>
      <w:r w:rsidR="00FB344C">
        <w:t xml:space="preserve"> </w:t>
      </w:r>
      <w:r w:rsidR="00214245" w:rsidRPr="006D07DD">
        <w:rPr>
          <w:b/>
        </w:rPr>
        <w:t>целевата група</w:t>
      </w:r>
      <w:r w:rsidR="00214245" w:rsidRPr="006D07DD">
        <w:t xml:space="preserve"> от анкетирани лица</w:t>
      </w:r>
      <w:r w:rsidR="00053F14" w:rsidRPr="006D07DD">
        <w:t xml:space="preserve"> и 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0028D26C" w14:textId="77777777" w:rsidR="0083131E" w:rsidRDefault="0083131E" w:rsidP="00A70C2B">
      <w:pPr>
        <w:spacing w:before="0" w:after="120" w:line="259" w:lineRule="auto"/>
        <w:jc w:val="center"/>
        <w:rPr>
          <w:rFonts w:eastAsia="Calibri"/>
          <w:b/>
          <w:bCs/>
          <w:sz w:val="28"/>
          <w:szCs w:val="28"/>
          <w:lang w:eastAsia="en-US"/>
        </w:rPr>
      </w:pPr>
    </w:p>
    <w:p w14:paraId="744767C9" w14:textId="771F2058" w:rsidR="00736B5B" w:rsidRDefault="00A70C2B" w:rsidP="00A70C2B">
      <w:pPr>
        <w:spacing w:before="0" w:after="120" w:line="259" w:lineRule="auto"/>
        <w:jc w:val="center"/>
        <w:rPr>
          <w:rFonts w:eastAsia="Calibri"/>
          <w:b/>
          <w:szCs w:val="22"/>
          <w:shd w:val="clear" w:color="auto" w:fill="FFFFFF"/>
        </w:rPr>
      </w:pPr>
      <w:r w:rsidRPr="00A70C2B">
        <w:rPr>
          <w:rFonts w:eastAsia="Calibri"/>
          <w:b/>
          <w:bCs/>
          <w:sz w:val="28"/>
          <w:szCs w:val="28"/>
          <w:lang w:eastAsia="en-US"/>
        </w:rPr>
        <w:t xml:space="preserve">АНКЕТНА КАРТА </w:t>
      </w:r>
      <w:r w:rsidRPr="00A70C2B">
        <w:rPr>
          <w:rFonts w:eastAsia="Calibri"/>
          <w:b/>
          <w:szCs w:val="22"/>
          <w:shd w:val="clear" w:color="auto" w:fill="FFFFFF"/>
        </w:rPr>
        <w:t xml:space="preserve">за </w:t>
      </w:r>
      <w:r w:rsidRPr="00A70C2B">
        <w:rPr>
          <w:rFonts w:eastAsia="Calibri"/>
          <w:b/>
          <w:i/>
          <w:iCs/>
          <w:szCs w:val="22"/>
          <w:shd w:val="clear" w:color="auto" w:fill="FFFFFF"/>
        </w:rPr>
        <w:t>изследване/ мониторинг/анализ</w:t>
      </w:r>
      <w:r w:rsidRPr="00A70C2B">
        <w:rPr>
          <w:rFonts w:eastAsia="Calibri"/>
          <w:b/>
          <w:szCs w:val="22"/>
          <w:shd w:val="clear" w:color="auto" w:fill="FFFFFF"/>
        </w:rPr>
        <w:t xml:space="preserve"> на търсените специфични дигитални умения/ компетентности за икономическа дейност/сектор </w:t>
      </w:r>
    </w:p>
    <w:p w14:paraId="118B0341" w14:textId="69B8DEC7" w:rsidR="00736B5B" w:rsidRDefault="00736B5B" w:rsidP="00A70C2B">
      <w:pPr>
        <w:spacing w:before="0" w:after="120" w:line="259" w:lineRule="auto"/>
        <w:jc w:val="center"/>
      </w:pPr>
      <w:bookmarkStart w:id="13" w:name="_Hlk129017981"/>
      <w:r w:rsidRPr="00466878">
        <w:rPr>
          <w:b/>
          <w:bCs/>
        </w:rPr>
        <w:t>С32.9 Производство, неквалифицирано</w:t>
      </w:r>
      <w:r>
        <w:rPr>
          <w:b/>
          <w:bCs/>
        </w:rPr>
        <w:t xml:space="preserve"> </w:t>
      </w:r>
      <w:r w:rsidRPr="00466878">
        <w:rPr>
          <w:b/>
          <w:bCs/>
        </w:rPr>
        <w:t>другаде/разнообразни производства, неквалифицирани другаде</w:t>
      </w:r>
      <w:r w:rsidRPr="00CD2D8A">
        <w:t xml:space="preserve">, </w:t>
      </w:r>
    </w:p>
    <w:bookmarkEnd w:id="13"/>
    <w:p w14:paraId="088CD37F" w14:textId="1D087D3A" w:rsidR="00A70C2B" w:rsidRPr="00736B5B" w:rsidRDefault="00A70C2B" w:rsidP="00736B5B">
      <w:pPr>
        <w:spacing w:before="0" w:after="120" w:line="259" w:lineRule="auto"/>
        <w:jc w:val="center"/>
        <w:rPr>
          <w:rFonts w:eastAsia="Calibri"/>
          <w:b/>
          <w:szCs w:val="22"/>
          <w:shd w:val="clear" w:color="auto" w:fill="FFFFFF"/>
        </w:rPr>
      </w:pPr>
      <w:r w:rsidRPr="00A70C2B">
        <w:rPr>
          <w:rFonts w:eastAsia="Calibri"/>
          <w:b/>
          <w:szCs w:val="22"/>
          <w:shd w:val="clear" w:color="auto" w:fill="FFFFFF"/>
        </w:rPr>
        <w:t>професия/длъжност</w:t>
      </w:r>
      <w:r w:rsidR="008027AB">
        <w:rPr>
          <w:rFonts w:eastAsia="Calibri"/>
          <w:b/>
          <w:szCs w:val="22"/>
          <w:shd w:val="clear" w:color="auto" w:fill="FFFFFF"/>
        </w:rPr>
        <w:t xml:space="preserve"> </w:t>
      </w:r>
      <w:r w:rsidR="00466878" w:rsidRPr="00466878">
        <w:rPr>
          <w:b/>
          <w:bCs/>
        </w:rPr>
        <w:t>21496015 Инженер /конструктор/ по специално въоръжение и техника</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489D5D7F" w14:textId="77777777" w:rsidTr="0015074A">
        <w:trPr>
          <w:cantSplit/>
          <w:trHeight w:val="1168"/>
        </w:trPr>
        <w:tc>
          <w:tcPr>
            <w:tcW w:w="10295" w:type="dxa"/>
            <w:gridSpan w:val="13"/>
            <w:shd w:val="clear" w:color="auto" w:fill="E7E6E6"/>
            <w:vAlign w:val="center"/>
          </w:tcPr>
          <w:p w14:paraId="1D9A6EE7" w14:textId="77777777" w:rsidR="00A70C2B" w:rsidRPr="00A70C2B" w:rsidRDefault="00A70C2B" w:rsidP="00A70C2B">
            <w:pPr>
              <w:autoSpaceDE w:val="0"/>
              <w:autoSpaceDN w:val="0"/>
              <w:adjustRightInd w:val="0"/>
              <w:spacing w:before="0" w:line="240" w:lineRule="auto"/>
              <w:jc w:val="left"/>
              <w:rPr>
                <w:b/>
                <w:bCs/>
                <w:color w:val="000000"/>
                <w:sz w:val="20"/>
                <w:lang w:eastAsia="en-US"/>
              </w:rPr>
            </w:pPr>
            <w:r w:rsidRPr="00A70C2B">
              <w:rPr>
                <w:rFonts w:ascii="Roboto" w:hAnsi="Roboto" w:cs="Roboto"/>
                <w:b/>
                <w:bCs/>
                <w:color w:val="000000"/>
                <w:lang w:eastAsia="en-US"/>
              </w:rPr>
              <w:t xml:space="preserve">Специфични дигитални умения. </w:t>
            </w:r>
            <w:r w:rsidRPr="00A70C2B">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A70C2B" w14:paraId="58B09703" w14:textId="77777777" w:rsidTr="0015074A">
        <w:trPr>
          <w:cantSplit/>
          <w:trHeight w:val="1168"/>
        </w:trPr>
        <w:tc>
          <w:tcPr>
            <w:tcW w:w="4201" w:type="dxa"/>
            <w:vMerge w:val="restart"/>
            <w:shd w:val="clear" w:color="auto" w:fill="E7E6E6"/>
            <w:vAlign w:val="center"/>
          </w:tcPr>
          <w:p w14:paraId="5818B936" w14:textId="77777777" w:rsidR="00A70C2B" w:rsidRPr="00A70C2B"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lastRenderedPageBreak/>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lastRenderedPageBreak/>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lastRenderedPageBreak/>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lastRenderedPageBreak/>
              <w:t>Необходимо ниво на владеене на дигитални умения в бъдеще</w:t>
            </w:r>
          </w:p>
        </w:tc>
      </w:tr>
      <w:tr w:rsidR="00A70C2B" w:rsidRPr="00A70C2B" w14:paraId="26CC8E08" w14:textId="77777777" w:rsidTr="0015074A">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15074A">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A70C2B" w:rsidRPr="00A70C2B" w14:paraId="76F42622" w14:textId="77777777" w:rsidTr="0015074A">
        <w:trPr>
          <w:cantSplit/>
        </w:trPr>
        <w:tc>
          <w:tcPr>
            <w:tcW w:w="4201" w:type="dxa"/>
            <w:vAlign w:val="center"/>
          </w:tcPr>
          <w:p w14:paraId="1E5FF6F2" w14:textId="1FA16A27" w:rsidR="00A70C2B" w:rsidRPr="00A70C2B" w:rsidRDefault="00661089" w:rsidP="00A70C2B">
            <w:pPr>
              <w:spacing w:before="0" w:line="240" w:lineRule="auto"/>
              <w:jc w:val="left"/>
              <w:rPr>
                <w:sz w:val="18"/>
                <w:szCs w:val="18"/>
                <w:lang w:eastAsia="en-US"/>
              </w:rPr>
            </w:pPr>
            <w:r w:rsidRPr="00661089">
              <w:rPr>
                <w:sz w:val="18"/>
                <w:szCs w:val="18"/>
                <w:lang w:eastAsia="en-US"/>
              </w:rPr>
              <w:t>Идентифициране на нуждите и технологични</w:t>
            </w:r>
            <w:r>
              <w:rPr>
                <w:sz w:val="18"/>
                <w:szCs w:val="18"/>
                <w:lang w:eastAsia="en-US"/>
              </w:rPr>
              <w:t>те</w:t>
            </w:r>
            <w:r w:rsidRPr="00661089">
              <w:rPr>
                <w:sz w:val="18"/>
                <w:szCs w:val="18"/>
                <w:lang w:eastAsia="en-US"/>
              </w:rPr>
              <w:t xml:space="preserve"> решения</w:t>
            </w:r>
            <w:r w:rsidRPr="0024005F">
              <w:rPr>
                <w:sz w:val="18"/>
                <w:szCs w:val="18"/>
                <w:lang w:eastAsia="en-US"/>
              </w:rPr>
              <w:t xml:space="preserve"> </w:t>
            </w:r>
            <w:r w:rsidRPr="00A70C2B">
              <w:rPr>
                <w:sz w:val="18"/>
                <w:szCs w:val="18"/>
                <w:lang w:eastAsia="en-US"/>
              </w:rPr>
              <w:t>(Д</w:t>
            </w:r>
            <w:r>
              <w:rPr>
                <w:sz w:val="18"/>
                <w:szCs w:val="18"/>
                <w:lang w:eastAsia="en-US"/>
              </w:rPr>
              <w:t>5.2</w:t>
            </w:r>
            <w:r>
              <w:t xml:space="preserve"> </w:t>
            </w:r>
            <w:r w:rsidRPr="00661089">
              <w:rPr>
                <w:sz w:val="18"/>
                <w:szCs w:val="18"/>
                <w:lang w:eastAsia="en-US"/>
              </w:rPr>
              <w:t>Решаване на проблеми</w:t>
            </w:r>
            <w:r w:rsidRPr="00A70C2B">
              <w:rPr>
                <w:sz w:val="18"/>
                <w:szCs w:val="18"/>
                <w:lang w:eastAsia="en-US"/>
              </w:rPr>
              <w:t>)</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15074A">
        <w:trPr>
          <w:cantSplit/>
        </w:trPr>
        <w:tc>
          <w:tcPr>
            <w:tcW w:w="4201" w:type="dxa"/>
            <w:vAlign w:val="center"/>
          </w:tcPr>
          <w:p w14:paraId="1FA5CBAD" w14:textId="43227FCC" w:rsidR="00A70C2B" w:rsidRPr="00A70C2B" w:rsidRDefault="00661089" w:rsidP="00A70C2B">
            <w:pPr>
              <w:spacing w:before="0" w:line="240" w:lineRule="auto"/>
              <w:jc w:val="left"/>
              <w:rPr>
                <w:sz w:val="18"/>
                <w:szCs w:val="18"/>
                <w:lang w:eastAsia="en-US"/>
              </w:rPr>
            </w:pPr>
            <w:r w:rsidRPr="006763C7">
              <w:rPr>
                <w:sz w:val="18"/>
                <w:szCs w:val="18"/>
                <w:lang w:eastAsia="en-US"/>
              </w:rPr>
              <w:t>Креативно използване на дигиталните технологии</w:t>
            </w:r>
            <w:r>
              <w:rPr>
                <w:sz w:val="18"/>
                <w:szCs w:val="18"/>
                <w:lang w:eastAsia="en-US"/>
              </w:rPr>
              <w:t xml:space="preserve"> (Д5.3 Решаване на проблеми)</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15074A">
        <w:trPr>
          <w:cantSplit/>
        </w:trPr>
        <w:tc>
          <w:tcPr>
            <w:tcW w:w="4201" w:type="dxa"/>
            <w:vAlign w:val="center"/>
          </w:tcPr>
          <w:p w14:paraId="5A8C3970" w14:textId="3669C5CF" w:rsidR="00A70C2B" w:rsidRPr="00A70C2B" w:rsidRDefault="00661089" w:rsidP="006763C7">
            <w:pPr>
              <w:spacing w:before="0" w:line="240" w:lineRule="auto"/>
              <w:jc w:val="left"/>
              <w:rPr>
                <w:rFonts w:ascii="Times New Roman" w:hAnsi="Times New Roman"/>
                <w:sz w:val="20"/>
                <w:szCs w:val="20"/>
                <w:lang w:eastAsia="en-US"/>
              </w:rPr>
            </w:pPr>
            <w:r>
              <w:rPr>
                <w:rFonts w:ascii="Times New Roman" w:hAnsi="Times New Roman"/>
                <w:sz w:val="20"/>
                <w:szCs w:val="20"/>
                <w:lang w:eastAsia="en-US"/>
              </w:rPr>
              <w:t>…….</w:t>
            </w:r>
          </w:p>
        </w:tc>
        <w:tc>
          <w:tcPr>
            <w:tcW w:w="850" w:type="dxa"/>
          </w:tcPr>
          <w:p w14:paraId="508472A6" w14:textId="1172AA34" w:rsidR="00A70C2B" w:rsidRPr="00A70C2B" w:rsidRDefault="006763C7" w:rsidP="006763C7">
            <w:pPr>
              <w:jc w:val="center"/>
              <w:rPr>
                <w:color w:val="000000"/>
                <w:sz w:val="20"/>
                <w:szCs w:val="20"/>
                <w:lang w:eastAsia="en-US"/>
              </w:rPr>
            </w:pPr>
            <w:r w:rsidRPr="006763C7">
              <w:rPr>
                <w:rFonts w:ascii="Segoe UI Symbol" w:hAnsi="Segoe UI Symbol" w:cs="Segoe UI Symbol"/>
                <w:color w:val="000000"/>
                <w:sz w:val="20"/>
                <w:szCs w:val="20"/>
                <w:lang w:eastAsia="en-US"/>
              </w:rPr>
              <w:t>☐</w:t>
            </w: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0B37EB7C" w:rsidR="00A70C2B" w:rsidRPr="00A70C2B" w:rsidRDefault="006763C7" w:rsidP="006763C7">
            <w:pPr>
              <w:jc w:val="center"/>
              <w:rPr>
                <w:color w:val="000000"/>
                <w:sz w:val="20"/>
                <w:szCs w:val="20"/>
                <w:lang w:eastAsia="en-US"/>
              </w:rPr>
            </w:pPr>
            <w:r w:rsidRPr="006763C7">
              <w:rPr>
                <w:rFonts w:ascii="Segoe UI Symbol" w:hAnsi="Segoe UI Symbol" w:cs="Segoe UI Symbol"/>
                <w:color w:val="000000"/>
                <w:sz w:val="20"/>
                <w:szCs w:val="20"/>
                <w:lang w:eastAsia="en-US"/>
              </w:rPr>
              <w:t>☐</w:t>
            </w: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5CEC56B0" w14:textId="77777777" w:rsidTr="0015074A">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15074A">
        <w:trPr>
          <w:cantSplit/>
        </w:trPr>
        <w:tc>
          <w:tcPr>
            <w:tcW w:w="4201" w:type="dxa"/>
            <w:vAlign w:val="center"/>
          </w:tcPr>
          <w:p w14:paraId="71C67FB7" w14:textId="77777777" w:rsidR="00A70C2B" w:rsidRPr="00A70C2B" w:rsidRDefault="00A70C2B" w:rsidP="00A70C2B">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50BA86FE" w14:textId="77777777" w:rsidR="00A70C2B" w:rsidRPr="00A70C2B" w:rsidRDefault="00A70C2B" w:rsidP="00A70C2B">
      <w:pPr>
        <w:spacing w:before="0" w:after="160" w:line="259" w:lineRule="auto"/>
        <w:jc w:val="left"/>
        <w:rPr>
          <w:rFonts w:eastAsia="Calibri" w:cs="Times New Roman"/>
          <w:sz w:val="22"/>
          <w:szCs w:val="22"/>
          <w:lang w:eastAsia="en-US"/>
        </w:rPr>
      </w:pPr>
    </w:p>
    <w:p w14:paraId="154DE532" w14:textId="161DBA1A" w:rsidR="00B71D91" w:rsidRPr="002342EF" w:rsidRDefault="000372DC" w:rsidP="00B71D91">
      <w:pPr>
        <w:spacing w:before="0" w:after="160" w:line="259" w:lineRule="auto"/>
        <w:jc w:val="left"/>
        <w:rPr>
          <w:rFonts w:eastAsia="Calibri" w:cs="Times New Roman"/>
          <w:b/>
          <w:lang w:eastAsia="en-US"/>
        </w:rPr>
      </w:pPr>
      <w:r w:rsidRPr="002342EF">
        <w:rPr>
          <w:rFonts w:eastAsia="Calibri" w:cs="Times New Roman"/>
          <w:b/>
          <w:bCs/>
          <w:u w:val="single"/>
          <w:lang w:eastAsia="en-US"/>
        </w:rPr>
        <w:t>Фигура 1.</w:t>
      </w:r>
      <w:r w:rsidRPr="002342EF">
        <w:rPr>
          <w:rFonts w:eastAsia="Calibri" w:cs="Times New Roman"/>
          <w:b/>
          <w:bCs/>
          <w:lang w:eastAsia="en-US"/>
        </w:rPr>
        <w:t xml:space="preserve"> </w:t>
      </w:r>
      <w:r w:rsidR="00632C84" w:rsidRPr="002342EF">
        <w:rPr>
          <w:rFonts w:eastAsia="Calibri" w:cs="Times New Roman"/>
          <w:b/>
          <w:bCs/>
          <w:lang w:eastAsia="en-US"/>
        </w:rPr>
        <w:t>Пример за</w:t>
      </w:r>
      <w:r w:rsidR="00632C84" w:rsidRPr="002342EF">
        <w:rPr>
          <w:rFonts w:eastAsia="Calibri" w:cs="Times New Roman"/>
          <w:lang w:eastAsia="en-US"/>
        </w:rPr>
        <w:t xml:space="preserve"> </w:t>
      </w:r>
      <w:bookmarkStart w:id="14" w:name="_Hlk128156573"/>
      <w:r w:rsidR="00B71D91" w:rsidRPr="002342EF">
        <w:rPr>
          <w:rFonts w:eastAsia="Calibri" w:cs="Times New Roman"/>
          <w:b/>
          <w:bCs/>
          <w:lang w:eastAsia="en-US"/>
        </w:rPr>
        <w:t xml:space="preserve">АНКЕТНА КАРТА </w:t>
      </w:r>
      <w:r w:rsidR="00B71D91" w:rsidRPr="002342EF">
        <w:rPr>
          <w:rFonts w:eastAsia="Calibri" w:cs="Times New Roman"/>
          <w:b/>
          <w:lang w:eastAsia="en-US"/>
        </w:rPr>
        <w:t xml:space="preserve">за </w:t>
      </w:r>
      <w:r w:rsidR="00B71D91" w:rsidRPr="002342EF">
        <w:rPr>
          <w:rFonts w:eastAsia="Calibri" w:cs="Times New Roman"/>
          <w:b/>
          <w:i/>
          <w:iCs/>
          <w:lang w:eastAsia="en-US"/>
        </w:rPr>
        <w:t>изследване</w:t>
      </w:r>
      <w:r w:rsidR="00CE5A42" w:rsidRPr="002342EF">
        <w:rPr>
          <w:rFonts w:eastAsia="Calibri" w:cs="Times New Roman"/>
          <w:b/>
          <w:i/>
          <w:iCs/>
          <w:lang w:eastAsia="en-US"/>
        </w:rPr>
        <w:t>/</w:t>
      </w:r>
      <w:r w:rsidR="00B71D91" w:rsidRPr="002342EF">
        <w:rPr>
          <w:rFonts w:eastAsia="Calibri" w:cs="Times New Roman"/>
          <w:b/>
          <w:i/>
          <w:iCs/>
          <w:lang w:eastAsia="en-US"/>
        </w:rPr>
        <w:t>мониторинг/анализ</w:t>
      </w:r>
      <w:r w:rsidR="00B71D91" w:rsidRPr="002342EF">
        <w:rPr>
          <w:rFonts w:eastAsia="Calibri" w:cs="Times New Roman"/>
          <w:b/>
          <w:lang w:eastAsia="en-US"/>
        </w:rPr>
        <w:t xml:space="preserve"> на търсените общи и/или специфични дигитални умения/ компетентности </w:t>
      </w:r>
    </w:p>
    <w:p w14:paraId="06089E2B" w14:textId="4649B913" w:rsidR="005213B2" w:rsidRPr="00F314B2" w:rsidRDefault="005213B2" w:rsidP="00B71D91">
      <w:pPr>
        <w:pStyle w:val="Heading2"/>
      </w:pPr>
      <w:bookmarkStart w:id="15" w:name="_Toc131769829"/>
      <w:r w:rsidRPr="00A355E3">
        <w:t>Анализ</w:t>
      </w:r>
      <w:r w:rsidRPr="00A355E3">
        <w:rPr>
          <w:lang w:val="en-US"/>
        </w:rPr>
        <w:t xml:space="preserve"> </w:t>
      </w:r>
      <w:r w:rsidRPr="00F314B2">
        <w:t>на резултатите от проведения мониторинг</w:t>
      </w:r>
      <w:bookmarkEnd w:id="15"/>
      <w:r w:rsidRPr="00F314B2">
        <w:t xml:space="preserve"> </w:t>
      </w:r>
    </w:p>
    <w:bookmarkEnd w:id="14"/>
    <w:p w14:paraId="2927B6D5" w14:textId="241F0A82" w:rsidR="003A6A93" w:rsidRPr="00776C3B" w:rsidRDefault="00FB344C" w:rsidP="00590C1E">
      <w:pPr>
        <w:spacing w:after="120"/>
      </w:pPr>
      <w:r>
        <w:t>А</w:t>
      </w:r>
      <w:r w:rsidR="00A7284A" w:rsidRPr="006D07DD">
        <w:t>нализ</w:t>
      </w:r>
      <w:r>
        <w:t>ът</w:t>
      </w:r>
      <w:r w:rsidR="00A7284A" w:rsidRPr="006D07DD">
        <w:t xml:space="preserve"> </w:t>
      </w:r>
      <w:r w:rsidR="00737CB2" w:rsidRPr="006D07DD">
        <w:t>на резултатите от проведеното проучване изисква</w:t>
      </w:r>
      <w:r w:rsidR="00A7284A" w:rsidRPr="006D07DD">
        <w:t xml:space="preserve"> да се направи </w:t>
      </w:r>
      <w:r w:rsidR="00737CB2" w:rsidRPr="006D07DD">
        <w:t xml:space="preserve">следната </w:t>
      </w:r>
      <w:r w:rsidR="00A7284A" w:rsidRPr="006D07DD">
        <w:t>оценка:</w:t>
      </w:r>
    </w:p>
    <w:p w14:paraId="76ADA9C1" w14:textId="0E0CD18D" w:rsidR="008027AB" w:rsidRPr="008027AB" w:rsidRDefault="008027AB" w:rsidP="008027AB">
      <w:pPr>
        <w:pStyle w:val="ListParagraph"/>
        <w:numPr>
          <w:ilvl w:val="0"/>
          <w:numId w:val="2"/>
        </w:numPr>
        <w:spacing w:before="0" w:after="120" w:line="259" w:lineRule="auto"/>
        <w:rPr>
          <w:rFonts w:eastAsia="Calibri"/>
          <w:b/>
          <w:bCs/>
          <w:sz w:val="28"/>
          <w:szCs w:val="28"/>
          <w:lang w:eastAsia="en-US"/>
        </w:rPr>
      </w:pPr>
      <w:r w:rsidRPr="00776C3B">
        <w:t>Кои специфични дигитални</w:t>
      </w:r>
      <w:r w:rsidR="00590C1E">
        <w:t xml:space="preserve"> </w:t>
      </w:r>
      <w:bookmarkStart w:id="16" w:name="_Hlk129010547"/>
      <w:r w:rsidR="00590C1E">
        <w:t>умения/</w:t>
      </w:r>
      <w:bookmarkEnd w:id="16"/>
      <w:r w:rsidRPr="00776C3B">
        <w:t xml:space="preserve">компетентности, изведени при предишното проучване като необходими за упражняване на </w:t>
      </w:r>
      <w:bookmarkStart w:id="17" w:name="_Hlk129002500"/>
      <w:r w:rsidRPr="00776C3B">
        <w:t>ключова</w:t>
      </w:r>
      <w:r>
        <w:t>та</w:t>
      </w:r>
      <w:r w:rsidRPr="00776C3B">
        <w:t xml:space="preserve"> професия/длъжност</w:t>
      </w:r>
      <w:r w:rsidR="00590C1E">
        <w:t xml:space="preserve"> </w:t>
      </w:r>
      <w:bookmarkEnd w:id="17"/>
      <w:r w:rsidR="00466878" w:rsidRPr="00466878">
        <w:rPr>
          <w:b/>
          <w:bCs/>
        </w:rPr>
        <w:t>21496015 Инженер /конструктор/ по специално въоръжение и техника</w:t>
      </w:r>
      <w:r w:rsidR="00466878" w:rsidRPr="00776C3B">
        <w:t xml:space="preserve"> </w:t>
      </w:r>
      <w:r w:rsidRPr="00776C3B">
        <w:t xml:space="preserve">вече </w:t>
      </w:r>
      <w:r w:rsidRPr="00776C3B">
        <w:rPr>
          <w:b/>
        </w:rPr>
        <w:t>не</w:t>
      </w:r>
      <w:r w:rsidRPr="00776C3B">
        <w:t xml:space="preserve"> се определят като необходими от респондентите.</w:t>
      </w:r>
    </w:p>
    <w:p w14:paraId="739DC1DF" w14:textId="389F7158" w:rsidR="003A6A93" w:rsidRPr="00776C3B" w:rsidRDefault="002964EB" w:rsidP="001E13A2">
      <w:pPr>
        <w:pStyle w:val="ListParagraph"/>
        <w:numPr>
          <w:ilvl w:val="0"/>
          <w:numId w:val="2"/>
        </w:numPr>
      </w:pPr>
      <w:r w:rsidRPr="00776C3B">
        <w:t xml:space="preserve">Кои </w:t>
      </w:r>
      <w:r w:rsidR="008A049B" w:rsidRPr="00776C3B">
        <w:t xml:space="preserve">специфични дигитални </w:t>
      </w:r>
      <w:r w:rsidR="00590C1E">
        <w:t>умения/</w:t>
      </w:r>
      <w:r w:rsidR="008A049B" w:rsidRPr="00776C3B">
        <w:t xml:space="preserve">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60DDB803"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специфични дигитални умения</w:t>
      </w:r>
      <w:r w:rsidR="00590C1E">
        <w:t>/компетентности</w:t>
      </w:r>
      <w:r w:rsidRPr="00776C3B">
        <w:t xml:space="preserve"> </w:t>
      </w:r>
      <w:r w:rsidRPr="00776C3B">
        <w:rPr>
          <w:b/>
        </w:rPr>
        <w:t>няма промяна</w:t>
      </w:r>
      <w:r w:rsidRPr="00776C3B">
        <w:t>.</w:t>
      </w:r>
    </w:p>
    <w:p w14:paraId="1BEE3A93" w14:textId="47B2FC18" w:rsidR="00340446"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590C1E">
        <w:t>умения/</w:t>
      </w:r>
      <w:r w:rsidR="00340446" w:rsidRPr="00776C3B">
        <w:t xml:space="preserve">компетентности, които не </w:t>
      </w:r>
      <w:r w:rsidR="00887D49" w:rsidRPr="00776C3B">
        <w:t>са включени</w:t>
      </w:r>
      <w:r w:rsidR="00340446" w:rsidRPr="00776C3B">
        <w:t xml:space="preserve"> във вече разработени</w:t>
      </w:r>
      <w:r w:rsidR="008027AB">
        <w:t>я</w:t>
      </w:r>
      <w:r w:rsidR="00340446" w:rsidRPr="00776C3B">
        <w:t xml:space="preserve"> </w:t>
      </w:r>
      <w:r w:rsidRPr="00776C3B">
        <w:t xml:space="preserve">унифициран </w:t>
      </w:r>
      <w:r w:rsidR="00340446" w:rsidRPr="00776C3B">
        <w:t>профил</w:t>
      </w:r>
      <w:r w:rsidR="008027AB">
        <w:t xml:space="preserve"> на </w:t>
      </w:r>
      <w:bookmarkStart w:id="18" w:name="_Hlk129002684"/>
      <w:r w:rsidR="008027AB" w:rsidRPr="00776C3B">
        <w:t>ключова</w:t>
      </w:r>
      <w:r w:rsidR="008027AB">
        <w:t>та</w:t>
      </w:r>
      <w:r w:rsidR="008027AB" w:rsidRPr="00776C3B">
        <w:t xml:space="preserve"> професия/длъжност</w:t>
      </w:r>
      <w:r w:rsidR="008027AB">
        <w:t xml:space="preserve">    </w:t>
      </w:r>
      <w:bookmarkEnd w:id="18"/>
      <w:r w:rsidR="00466878" w:rsidRPr="00466878">
        <w:rPr>
          <w:b/>
          <w:bCs/>
        </w:rPr>
        <w:t>21496015 Инженер /конструктор/ по специално въоръжение и техника</w:t>
      </w:r>
      <w:r w:rsidRPr="00776C3B">
        <w:t>,</w:t>
      </w:r>
      <w:r w:rsidR="00F314B2" w:rsidRPr="00776C3B">
        <w:t xml:space="preserve"> респондентите посочват като необходими</w:t>
      </w:r>
      <w:r w:rsidR="00340446" w:rsidRPr="00776C3B">
        <w:t>.</w:t>
      </w:r>
    </w:p>
    <w:p w14:paraId="387E0AFF" w14:textId="2672C360" w:rsidR="00871CD4" w:rsidRPr="00776C3B" w:rsidRDefault="00871CD4" w:rsidP="00871CD4">
      <w:r w:rsidRPr="001E7D72">
        <w:t xml:space="preserve">За по-голяма обективност на изследването преди окончателното определяне на специфичните дигитални умения е възможно резултатите от проучването да бъдат обсъждани на различни работни форуми (кръгли маси, работни групи и др.).  При тези </w:t>
      </w:r>
      <w:r w:rsidRPr="001E7D72">
        <w:lastRenderedPageBreak/>
        <w:t>дискусии е възможна промяна на получените в изследването резултати, като изведени  специфични дигитални умения с по-голяма тежест да преминат на по-задно място и дори да отпаднат.</w:t>
      </w:r>
    </w:p>
    <w:p w14:paraId="7B11B9FA" w14:textId="3D073F7E" w:rsidR="00500F6D" w:rsidRPr="00500F6D" w:rsidRDefault="00313D03" w:rsidP="00500F6D">
      <w:pPr>
        <w:autoSpaceDE w:val="0"/>
        <w:autoSpaceDN w:val="0"/>
        <w:adjustRightInd w:val="0"/>
        <w:spacing w:after="240"/>
        <w:rPr>
          <w:rFonts w:cstheme="minorHAnsi"/>
        </w:rPr>
      </w:pPr>
      <w:bookmarkStart w:id="19" w:name="_Hlk128248343"/>
      <w:r w:rsidRPr="00CF5BF7">
        <w:rPr>
          <w:rFonts w:cstheme="minorHAnsi"/>
        </w:rPr>
        <w:t>За целите на този анализ, за икономическа</w:t>
      </w:r>
      <w:r w:rsidR="008027AB">
        <w:rPr>
          <w:rFonts w:cstheme="minorHAnsi"/>
        </w:rPr>
        <w:t>та</w:t>
      </w:r>
      <w:r w:rsidRPr="00CF5BF7">
        <w:rPr>
          <w:rFonts w:cstheme="minorHAnsi"/>
        </w:rPr>
        <w:t xml:space="preserve">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w:t>
      </w:r>
      <w:r w:rsidR="008027AB">
        <w:rPr>
          <w:rFonts w:cstheme="minorHAnsi"/>
        </w:rPr>
        <w:t>ата</w:t>
      </w:r>
      <w:r w:rsidR="00435CF4" w:rsidRPr="00CF5BF7">
        <w:rPr>
          <w:rFonts w:cstheme="minorHAnsi"/>
        </w:rPr>
        <w:t xml:space="preserve"> длъжност</w:t>
      </w:r>
      <w:r w:rsidR="00590C1E">
        <w:rPr>
          <w:rFonts w:cstheme="minorHAnsi"/>
        </w:rPr>
        <w:t xml:space="preserve"> </w:t>
      </w:r>
      <w:r w:rsidR="00466878" w:rsidRPr="00466878">
        <w:rPr>
          <w:b/>
          <w:bCs/>
        </w:rPr>
        <w:t>21496015 Инженер /конструктор/ по специално въоръжение и техника</w:t>
      </w:r>
      <w:r w:rsidR="00466878" w:rsidRPr="00CF5BF7">
        <w:rPr>
          <w:rFonts w:cstheme="minorHAnsi"/>
        </w:rPr>
        <w:t xml:space="preserve"> </w:t>
      </w:r>
      <w:r w:rsidR="00CF5BF7" w:rsidRPr="00CF5BF7">
        <w:rPr>
          <w:rFonts w:cstheme="minorHAnsi"/>
        </w:rPr>
        <w:t>от</w:t>
      </w:r>
      <w:r w:rsidR="00435CF4" w:rsidRPr="00CF5BF7">
        <w:rPr>
          <w:rFonts w:cstheme="minorHAnsi"/>
        </w:rPr>
        <w:t xml:space="preserve"> икономическата дейност/сектор</w:t>
      </w:r>
      <w:r w:rsidR="00590C1E">
        <w:rPr>
          <w:rFonts w:cstheme="minorHAnsi"/>
        </w:rPr>
        <w:t xml:space="preserve"> </w:t>
      </w:r>
      <w:r w:rsidR="006763C7" w:rsidRPr="006763C7">
        <w:rPr>
          <w:b/>
          <w:bCs/>
          <w:iCs/>
        </w:rPr>
        <w:t>С32.9 Производство, неквалифицирано другаде/разнообразни производства, неквалифицирани другаде</w:t>
      </w:r>
      <w:r w:rsidR="006763C7">
        <w:rPr>
          <w:b/>
          <w:bCs/>
          <w:iCs/>
        </w:rPr>
        <w:t xml:space="preserve"> </w:t>
      </w:r>
      <w:r w:rsidR="000E7F8C" w:rsidRPr="00CF5BF7">
        <w:rPr>
          <w:rFonts w:cstheme="minorHAnsi"/>
        </w:rPr>
        <w:t>и</w:t>
      </w:r>
      <w:r w:rsidR="00435CF4" w:rsidRPr="00CF5BF7">
        <w:rPr>
          <w:rFonts w:cstheme="minorHAnsi"/>
        </w:rPr>
        <w:t xml:space="preserve"> показва</w:t>
      </w:r>
      <w:r w:rsidR="000E7F8C" w:rsidRPr="00CF5BF7">
        <w:rPr>
          <w:rFonts w:cstheme="minorHAnsi"/>
        </w:rPr>
        <w:t>щ</w:t>
      </w:r>
      <w:r w:rsidR="008027AB">
        <w:rPr>
          <w:rFonts w:cstheme="minorHAnsi"/>
        </w:rPr>
        <w:t>а</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653C05F5" w14:textId="3BE084F7" w:rsidR="005E798D" w:rsidRPr="003F204A" w:rsidRDefault="005E798D" w:rsidP="005E798D">
      <w:pPr>
        <w:jc w:val="center"/>
        <w:rPr>
          <w:rFonts w:asciiTheme="minorHAnsi" w:eastAsia="Calibri" w:hAnsiTheme="minorHAnsi" w:cstheme="minorHAnsi"/>
          <w:bCs/>
          <w:caps/>
          <w:sz w:val="20"/>
          <w:szCs w:val="20"/>
        </w:rPr>
      </w:pPr>
      <w:bookmarkStart w:id="20" w:name="_Toc87497211"/>
      <w:r w:rsidRPr="003F204A">
        <w:rPr>
          <w:rFonts w:asciiTheme="minorHAnsi" w:eastAsia="Calibri" w:hAnsiTheme="minorHAnsi" w:cstheme="minorHAnsi"/>
          <w:b/>
          <w:caps/>
          <w:sz w:val="20"/>
          <w:szCs w:val="20"/>
        </w:rPr>
        <w:t xml:space="preserve">Карта за оценка на специфичните дигитални компетентности </w:t>
      </w:r>
      <w:bookmarkEnd w:id="20"/>
      <w:r>
        <w:rPr>
          <w:rFonts w:asciiTheme="minorHAnsi" w:eastAsia="Calibri" w:hAnsiTheme="minorHAnsi" w:cstheme="minorHAnsi"/>
          <w:b/>
          <w:caps/>
          <w:sz w:val="20"/>
          <w:szCs w:val="20"/>
        </w:rPr>
        <w:br/>
      </w:r>
      <w:r w:rsidRPr="003F204A">
        <w:rPr>
          <w:rFonts w:asciiTheme="minorHAnsi" w:eastAsia="Calibri" w:hAnsiTheme="minorHAnsi" w:cstheme="minorHAnsi"/>
          <w:b/>
          <w:caps/>
          <w:sz w:val="20"/>
          <w:szCs w:val="20"/>
        </w:rPr>
        <w:t>в икономическа дейност/сектор:</w:t>
      </w:r>
      <w:r w:rsidRPr="003F204A">
        <w:rPr>
          <w:rFonts w:asciiTheme="minorHAnsi" w:eastAsia="Calibri" w:hAnsiTheme="minorHAnsi" w:cstheme="minorHAnsi"/>
          <w:bCs/>
          <w:caps/>
          <w:sz w:val="20"/>
          <w:szCs w:val="20"/>
        </w:rPr>
        <w:t xml:space="preserve"> </w:t>
      </w:r>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36B5B" w:rsidRPr="00CD2D8A">
        <w:t>,</w:t>
      </w:r>
    </w:p>
    <w:p w14:paraId="4ABD6391" w14:textId="77777777" w:rsidR="005E798D" w:rsidRPr="003F204A" w:rsidRDefault="005E798D" w:rsidP="005E798D">
      <w:pPr>
        <w:ind w:left="-142"/>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5E798D" w:rsidRPr="003F204A" w14:paraId="76FE5EAB" w14:textId="77777777" w:rsidTr="0015074A">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328" w:type="dxa"/>
            <w:shd w:val="clear" w:color="auto" w:fill="E7E6E6"/>
          </w:tcPr>
          <w:p w14:paraId="7C8D0CB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Pr="003F204A">
              <w:rPr>
                <w:rFonts w:asciiTheme="minorHAnsi" w:hAnsiTheme="minorHAnsi" w:cstheme="minorHAnsi"/>
                <w:i/>
                <w:iCs/>
                <w:color w:val="000000"/>
                <w:sz w:val="20"/>
                <w:szCs w:val="20"/>
              </w:rPr>
              <w:t>(от унифицирания профил)</w:t>
            </w:r>
          </w:p>
        </w:tc>
        <w:tc>
          <w:tcPr>
            <w:tcW w:w="1276"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21" w:name="_Hlk100691378"/>
            <w:r w:rsidRPr="003F204A">
              <w:rPr>
                <w:rFonts w:asciiTheme="minorHAnsi" w:hAnsiTheme="minorHAnsi" w:cstheme="minorHAnsi"/>
                <w:b/>
                <w:bCs/>
                <w:color w:val="000000"/>
                <w:sz w:val="20"/>
                <w:szCs w:val="20"/>
              </w:rPr>
              <w:t>Ниво на владеене</w:t>
            </w:r>
            <w:bookmarkEnd w:id="21"/>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настоящото проучване)</w:t>
            </w:r>
          </w:p>
        </w:tc>
        <w:tc>
          <w:tcPr>
            <w:tcW w:w="1085"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080" w:type="dxa"/>
            <w:shd w:val="clear" w:color="auto" w:fill="E7E6E6"/>
          </w:tcPr>
          <w:p w14:paraId="046D7A6D" w14:textId="47540852"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Pr="003F204A">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3F204A" w14:paraId="416EBED9" w14:textId="77777777" w:rsidTr="0015074A">
        <w:tc>
          <w:tcPr>
            <w:tcW w:w="1176" w:type="dxa"/>
          </w:tcPr>
          <w:p w14:paraId="1782B3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1</w:t>
            </w:r>
          </w:p>
        </w:tc>
        <w:tc>
          <w:tcPr>
            <w:tcW w:w="3497" w:type="dxa"/>
          </w:tcPr>
          <w:p w14:paraId="0C27F0B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328" w:type="dxa"/>
          </w:tcPr>
          <w:p w14:paraId="7349A471"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276" w:type="dxa"/>
          </w:tcPr>
          <w:p w14:paraId="6B3683B3"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085" w:type="dxa"/>
          </w:tcPr>
          <w:p w14:paraId="2567659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080" w:type="dxa"/>
          </w:tcPr>
          <w:p w14:paraId="0AB0F334"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5E798D" w:rsidRPr="003F204A" w14:paraId="219A9BCF" w14:textId="77777777" w:rsidTr="0015074A">
        <w:tc>
          <w:tcPr>
            <w:tcW w:w="1176" w:type="dxa"/>
            <w:shd w:val="clear" w:color="auto" w:fill="F2F2F2"/>
          </w:tcPr>
          <w:p w14:paraId="509C6412" w14:textId="02198FD7" w:rsidR="005E798D" w:rsidRPr="003F204A" w:rsidRDefault="00736B5B" w:rsidP="00736B5B">
            <w:pPr>
              <w:spacing w:after="120"/>
              <w:jc w:val="left"/>
              <w:textAlignment w:val="baseline"/>
              <w:rPr>
                <w:rFonts w:asciiTheme="minorHAnsi" w:hAnsiTheme="minorHAnsi" w:cstheme="minorHAnsi"/>
                <w:b/>
                <w:bCs/>
                <w:color w:val="000000"/>
                <w:sz w:val="20"/>
                <w:szCs w:val="20"/>
              </w:rPr>
            </w:pPr>
            <w:r w:rsidRPr="00736B5B">
              <w:rPr>
                <w:rFonts w:asciiTheme="minorHAnsi" w:hAnsiTheme="minorHAnsi" w:cstheme="minorHAnsi"/>
                <w:b/>
                <w:bCs/>
                <w:color w:val="000000"/>
                <w:sz w:val="20"/>
                <w:szCs w:val="20"/>
              </w:rPr>
              <w:lastRenderedPageBreak/>
              <w:t xml:space="preserve">21496015 </w:t>
            </w:r>
          </w:p>
        </w:tc>
        <w:tc>
          <w:tcPr>
            <w:tcW w:w="3497" w:type="dxa"/>
            <w:shd w:val="clear" w:color="auto" w:fill="F2F2F2"/>
          </w:tcPr>
          <w:p w14:paraId="1AB7ED32" w14:textId="7500D6F3" w:rsidR="005E798D" w:rsidRPr="003F204A" w:rsidRDefault="00736B5B" w:rsidP="0015074A">
            <w:pPr>
              <w:spacing w:after="120"/>
              <w:jc w:val="left"/>
              <w:textAlignment w:val="baseline"/>
              <w:rPr>
                <w:rFonts w:asciiTheme="minorHAnsi" w:hAnsiTheme="minorHAnsi" w:cstheme="minorHAnsi"/>
                <w:b/>
                <w:bCs/>
                <w:color w:val="000000"/>
                <w:sz w:val="20"/>
                <w:szCs w:val="20"/>
              </w:rPr>
            </w:pPr>
            <w:r w:rsidRPr="00736B5B">
              <w:rPr>
                <w:rFonts w:asciiTheme="minorHAnsi" w:hAnsiTheme="minorHAnsi" w:cstheme="minorHAnsi"/>
                <w:b/>
                <w:bCs/>
                <w:color w:val="000000"/>
                <w:sz w:val="20"/>
                <w:szCs w:val="20"/>
              </w:rPr>
              <w:t>Инженер /конструктор/ по специално въоръжение и техника</w:t>
            </w:r>
          </w:p>
        </w:tc>
        <w:tc>
          <w:tcPr>
            <w:tcW w:w="1328" w:type="dxa"/>
            <w:shd w:val="clear" w:color="auto" w:fill="F2F2F2"/>
          </w:tcPr>
          <w:p w14:paraId="1D1344C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6" w:type="dxa"/>
            <w:shd w:val="clear" w:color="auto" w:fill="F2F2F2"/>
          </w:tcPr>
          <w:p w14:paraId="07431157"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0" w:type="dxa"/>
            <w:shd w:val="clear" w:color="auto" w:fill="F2F2F2"/>
          </w:tcPr>
          <w:p w14:paraId="2DC960FD" w14:textId="77777777" w:rsidR="005E798D" w:rsidRPr="003F204A" w:rsidRDefault="005E798D" w:rsidP="0015074A">
            <w:pPr>
              <w:autoSpaceDE w:val="0"/>
              <w:autoSpaceDN w:val="0"/>
              <w:adjustRightInd w:val="0"/>
              <w:jc w:val="center"/>
              <w:rPr>
                <w:rFonts w:asciiTheme="minorHAnsi" w:hAnsiTheme="minorHAnsi" w:cstheme="minorHAnsi"/>
                <w:sz w:val="20"/>
                <w:szCs w:val="20"/>
                <w:lang w:val="en-US"/>
              </w:rPr>
            </w:pPr>
          </w:p>
        </w:tc>
      </w:tr>
      <w:tr w:rsidR="005E798D" w:rsidRPr="005E798D" w14:paraId="263C0637" w14:textId="77777777" w:rsidTr="0015074A">
        <w:tc>
          <w:tcPr>
            <w:tcW w:w="9442" w:type="dxa"/>
            <w:gridSpan w:val="6"/>
          </w:tcPr>
          <w:p w14:paraId="43581C21" w14:textId="77777777" w:rsidR="005E798D" w:rsidRPr="005E798D" w:rsidRDefault="005E798D" w:rsidP="005E798D">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15074A">
        <w:tc>
          <w:tcPr>
            <w:tcW w:w="1176" w:type="dxa"/>
            <w:vAlign w:val="center"/>
          </w:tcPr>
          <w:p w14:paraId="67C738D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60DD1155" w14:textId="1D787F6E" w:rsidR="005E798D" w:rsidRPr="003F204A" w:rsidRDefault="0005061B" w:rsidP="0015074A">
            <w:pPr>
              <w:spacing w:after="120"/>
              <w:textAlignment w:val="baseline"/>
              <w:rPr>
                <w:rFonts w:asciiTheme="minorHAnsi" w:hAnsiTheme="minorHAnsi" w:cstheme="minorHAnsi"/>
                <w:color w:val="000000"/>
                <w:sz w:val="20"/>
                <w:szCs w:val="20"/>
              </w:rPr>
            </w:pPr>
            <w:r w:rsidRPr="0005061B">
              <w:rPr>
                <w:rFonts w:asciiTheme="minorHAnsi" w:hAnsiTheme="minorHAnsi" w:cstheme="minorHAnsi"/>
                <w:color w:val="000000"/>
                <w:sz w:val="20"/>
                <w:szCs w:val="20"/>
              </w:rPr>
              <w:t>Подобрява и интегрира дигитално съдържание чрез съвременните CAD/CAM/CAE технологии и средства на тримерното инженерно моделиране</w:t>
            </w:r>
          </w:p>
        </w:tc>
        <w:tc>
          <w:tcPr>
            <w:tcW w:w="1328" w:type="dxa"/>
            <w:vAlign w:val="center"/>
          </w:tcPr>
          <w:p w14:paraId="1BEED9AD" w14:textId="38110D74" w:rsidR="005E798D" w:rsidRPr="003F204A" w:rsidRDefault="00160130"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6</w:t>
            </w:r>
          </w:p>
        </w:tc>
        <w:tc>
          <w:tcPr>
            <w:tcW w:w="1276" w:type="dxa"/>
            <w:vAlign w:val="center"/>
          </w:tcPr>
          <w:p w14:paraId="352175A0" w14:textId="40A43617" w:rsidR="005E798D" w:rsidRPr="003F204A" w:rsidRDefault="00160130"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085" w:type="dxa"/>
            <w:vAlign w:val="center"/>
          </w:tcPr>
          <w:p w14:paraId="5FAA424E" w14:textId="203452E6" w:rsidR="005E798D" w:rsidRPr="003F204A" w:rsidRDefault="00160130" w:rsidP="0015074A">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2</w:t>
            </w:r>
          </w:p>
        </w:tc>
        <w:tc>
          <w:tcPr>
            <w:tcW w:w="1080"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3F204A" w:rsidRDefault="005E798D" w:rsidP="0015074A">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04CF96E8" w14:textId="77777777" w:rsidTr="0015074A">
        <w:tc>
          <w:tcPr>
            <w:tcW w:w="1176" w:type="dxa"/>
            <w:vAlign w:val="center"/>
          </w:tcPr>
          <w:p w14:paraId="2D3CD9F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12819279" w14:textId="394C461B" w:rsidR="005E798D" w:rsidRPr="003F204A" w:rsidRDefault="006763C7" w:rsidP="0015074A">
            <w:pPr>
              <w:spacing w:after="120"/>
              <w:textAlignment w:val="baseline"/>
              <w:rPr>
                <w:rFonts w:asciiTheme="minorHAnsi" w:hAnsiTheme="minorHAnsi" w:cstheme="minorHAnsi"/>
                <w:color w:val="000000"/>
                <w:sz w:val="20"/>
                <w:szCs w:val="20"/>
              </w:rPr>
            </w:pPr>
            <w:r w:rsidRPr="006763C7">
              <w:rPr>
                <w:rFonts w:asciiTheme="minorHAnsi" w:hAnsiTheme="minorHAnsi" w:cstheme="minorHAnsi"/>
                <w:color w:val="000000"/>
                <w:sz w:val="20"/>
                <w:szCs w:val="20"/>
              </w:rPr>
              <w:t>Предлагане на технологични решения за установяване и отстраняване на проблеми при производството на  специално въоръжение и техника</w:t>
            </w:r>
          </w:p>
        </w:tc>
        <w:tc>
          <w:tcPr>
            <w:tcW w:w="1328" w:type="dxa"/>
            <w:vAlign w:val="center"/>
          </w:tcPr>
          <w:p w14:paraId="0FDCEDF9" w14:textId="1752D5FD" w:rsidR="005E798D" w:rsidRPr="003F204A" w:rsidRDefault="00160130"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6</w:t>
            </w:r>
          </w:p>
        </w:tc>
        <w:tc>
          <w:tcPr>
            <w:tcW w:w="1276" w:type="dxa"/>
            <w:vAlign w:val="center"/>
          </w:tcPr>
          <w:p w14:paraId="29A21DE9" w14:textId="47CCDAFB" w:rsidR="005E798D" w:rsidRPr="003F204A" w:rsidRDefault="00160130"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p>
        </w:tc>
        <w:tc>
          <w:tcPr>
            <w:tcW w:w="1085" w:type="dxa"/>
            <w:vAlign w:val="center"/>
          </w:tcPr>
          <w:p w14:paraId="4B622CD0" w14:textId="3DBC1282" w:rsidR="005E798D" w:rsidRPr="003F204A" w:rsidRDefault="00160130" w:rsidP="0015074A">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1</w:t>
            </w:r>
          </w:p>
        </w:tc>
        <w:tc>
          <w:tcPr>
            <w:tcW w:w="1080"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5E798D" w:rsidRPr="003F204A" w:rsidRDefault="005E798D" w:rsidP="0015074A">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5CB42B59" w14:textId="77777777" w:rsidTr="009C0863">
        <w:trPr>
          <w:trHeight w:val="1689"/>
        </w:trPr>
        <w:tc>
          <w:tcPr>
            <w:tcW w:w="1176" w:type="dxa"/>
            <w:vAlign w:val="center"/>
          </w:tcPr>
          <w:p w14:paraId="2ADD069E"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7C53A80C" w14:textId="5954E7C4" w:rsidR="005E798D" w:rsidRPr="003F204A" w:rsidRDefault="0005061B" w:rsidP="0015074A">
            <w:pPr>
              <w:spacing w:after="120"/>
              <w:textAlignment w:val="baseline"/>
              <w:rPr>
                <w:rFonts w:asciiTheme="minorHAnsi" w:hAnsiTheme="minorHAnsi" w:cstheme="minorHAnsi"/>
                <w:color w:val="000000"/>
                <w:sz w:val="20"/>
                <w:szCs w:val="20"/>
              </w:rPr>
            </w:pPr>
            <w:r w:rsidRPr="0005061B">
              <w:rPr>
                <w:rFonts w:asciiTheme="minorHAnsi" w:hAnsiTheme="minorHAnsi" w:cstheme="minorHAnsi"/>
                <w:color w:val="000000"/>
                <w:sz w:val="20"/>
                <w:szCs w:val="20"/>
              </w:rPr>
              <w:t>Използване на дигиталните технологии за усъвършенстване на технологичните процеси</w:t>
            </w:r>
          </w:p>
        </w:tc>
        <w:tc>
          <w:tcPr>
            <w:tcW w:w="1328" w:type="dxa"/>
            <w:vAlign w:val="center"/>
          </w:tcPr>
          <w:p w14:paraId="3062CD98" w14:textId="7EE548EF" w:rsidR="005E798D" w:rsidRPr="003F204A" w:rsidRDefault="00160130"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p>
        </w:tc>
        <w:tc>
          <w:tcPr>
            <w:tcW w:w="1276" w:type="dxa"/>
            <w:vAlign w:val="center"/>
          </w:tcPr>
          <w:p w14:paraId="59761629" w14:textId="5CA6C026" w:rsidR="005E798D" w:rsidRPr="003F204A" w:rsidRDefault="00160130"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3</w:t>
            </w:r>
          </w:p>
        </w:tc>
        <w:tc>
          <w:tcPr>
            <w:tcW w:w="1085" w:type="dxa"/>
            <w:vAlign w:val="center"/>
          </w:tcPr>
          <w:p w14:paraId="223D09D9" w14:textId="4DC058A3" w:rsidR="005E798D" w:rsidRPr="003F204A" w:rsidRDefault="00160130" w:rsidP="0015074A">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2</w:t>
            </w:r>
          </w:p>
        </w:tc>
        <w:tc>
          <w:tcPr>
            <w:tcW w:w="1080" w:type="dxa"/>
            <w:vAlign w:val="center"/>
          </w:tcPr>
          <w:sdt>
            <w:sdtPr>
              <w:rPr>
                <w:rFonts w:cstheme="minorHAnsi"/>
                <w:sz w:val="20"/>
                <w:szCs w:val="20"/>
                <w:lang w:eastAsia="en-US"/>
              </w:rPr>
              <w:tag w:val="Моля, посочете вашата професия:"/>
              <w:id w:val="-1644263837"/>
              <w15:color w:val="FFFF00"/>
              <w14:checkbox>
                <w14:checked w14:val="0"/>
                <w14:checkedState w14:val="2612" w14:font="MS Gothic"/>
                <w14:uncheckedState w14:val="2610" w14:font="MS Gothic"/>
              </w14:checkbox>
            </w:sdtPr>
            <w:sdtContent>
              <w:p w14:paraId="1AAF9357" w14:textId="1B156F6A" w:rsidR="005E798D" w:rsidRPr="009C0863" w:rsidRDefault="00AB7B7E" w:rsidP="009C0863">
                <w:pPr>
                  <w:autoSpaceDE w:val="0"/>
                  <w:autoSpaceDN w:val="0"/>
                  <w:adjustRightInd w:val="0"/>
                  <w:jc w:val="center"/>
                  <w:rPr>
                    <w:rFonts w:cstheme="minorHAnsi"/>
                    <w:sz w:val="20"/>
                    <w:szCs w:val="20"/>
                  </w:rPr>
                </w:pPr>
                <w:r>
                  <w:rPr>
                    <w:rFonts w:ascii="MS Gothic" w:eastAsia="MS Gothic" w:hAnsi="MS Gothic" w:cstheme="minorHAnsi" w:hint="eastAsia"/>
                    <w:sz w:val="20"/>
                    <w:szCs w:val="20"/>
                    <w:lang w:eastAsia="en-US"/>
                  </w:rPr>
                  <w:t>☐</w:t>
                </w:r>
              </w:p>
            </w:sdtContent>
          </w:sdt>
        </w:tc>
      </w:tr>
      <w:tr w:rsidR="005E798D" w:rsidRPr="003F204A" w14:paraId="3B4181C2" w14:textId="77777777" w:rsidTr="0015074A">
        <w:tc>
          <w:tcPr>
            <w:tcW w:w="9442" w:type="dxa"/>
            <w:gridSpan w:val="6"/>
            <w:vAlign w:val="center"/>
          </w:tcPr>
          <w:p w14:paraId="06EFDEC3"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15074A">
        <w:tc>
          <w:tcPr>
            <w:tcW w:w="1176" w:type="dxa"/>
            <w:vAlign w:val="center"/>
          </w:tcPr>
          <w:p w14:paraId="5B1BBB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3F204A" w:rsidRDefault="005E798D" w:rsidP="008027AB">
            <w:pPr>
              <w:spacing w:after="120"/>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1328" w:type="dxa"/>
            <w:vAlign w:val="center"/>
          </w:tcPr>
          <w:p w14:paraId="44A622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6" w:type="dxa"/>
            <w:vAlign w:val="center"/>
          </w:tcPr>
          <w:p w14:paraId="34816D4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5" w:type="dxa"/>
            <w:vAlign w:val="center"/>
          </w:tcPr>
          <w:p w14:paraId="644A23A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0" w:type="dxa"/>
            <w:vAlign w:val="center"/>
          </w:tcPr>
          <w:p w14:paraId="0B47400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r>
    </w:tbl>
    <w:p w14:paraId="7132E2A3" w14:textId="5BD4196D" w:rsidR="00205285" w:rsidRPr="005E798D" w:rsidRDefault="00205285" w:rsidP="00593365">
      <w:pPr>
        <w:autoSpaceDE w:val="0"/>
        <w:autoSpaceDN w:val="0"/>
        <w:adjustRightInd w:val="0"/>
        <w:spacing w:after="240"/>
        <w:rPr>
          <w:rFonts w:cstheme="minorHAnsi"/>
          <w:b/>
        </w:rPr>
      </w:pPr>
      <w:r w:rsidRPr="008027AB">
        <w:rPr>
          <w:rFonts w:eastAsia="Calibri" w:cs="Times New Roman"/>
          <w:b/>
          <w:bCs/>
          <w:u w:val="single"/>
          <w:lang w:eastAsia="en-US"/>
        </w:rPr>
        <w:t>Фигура 2.</w:t>
      </w:r>
      <w:r w:rsidRPr="005E798D">
        <w:rPr>
          <w:rFonts w:eastAsia="Calibri" w:cs="Times New Roman"/>
          <w:b/>
          <w:lang w:eastAsia="en-US"/>
        </w:rPr>
        <w:t xml:space="preserve"> </w:t>
      </w:r>
      <w:r w:rsidR="005E798D" w:rsidRPr="005E798D">
        <w:rPr>
          <w:rFonts w:asciiTheme="minorHAnsi" w:eastAsia="Calibri" w:hAnsiTheme="minorHAnsi" w:cstheme="minorHAnsi"/>
          <w:b/>
        </w:rPr>
        <w:t>Карта за оценка на специфичните дигитални компетентности</w:t>
      </w:r>
    </w:p>
    <w:p w14:paraId="48413CC1" w14:textId="38052DFC" w:rsidR="00593365" w:rsidRPr="00B33BB4" w:rsidRDefault="00593365" w:rsidP="00593365">
      <w:pPr>
        <w:autoSpaceDE w:val="0"/>
        <w:autoSpaceDN w:val="0"/>
        <w:adjustRightInd w:val="0"/>
        <w:spacing w:after="240"/>
        <w:rPr>
          <w:rFonts w:cstheme="minorHAnsi"/>
        </w:rPr>
      </w:pPr>
      <w:r w:rsidRPr="00EA1B57">
        <w:rPr>
          <w:rFonts w:cstheme="minorHAnsi"/>
        </w:rPr>
        <w:t>Изискваните</w:t>
      </w:r>
      <w:r w:rsidR="00BF79DE">
        <w:rPr>
          <w:rFonts w:cstheme="minorHAnsi"/>
        </w:rPr>
        <w:t xml:space="preserve"> </w:t>
      </w:r>
      <w:r w:rsidRPr="00EA1B57">
        <w:rPr>
          <w:rFonts w:cstheme="minorHAnsi"/>
        </w:rPr>
        <w:t>дигитални умения</w:t>
      </w:r>
      <w:r w:rsidR="00BF79DE">
        <w:rPr>
          <w:rFonts w:cstheme="minorHAnsi"/>
        </w:rPr>
        <w:t>, както и</w:t>
      </w:r>
      <w:r w:rsidR="005831B5" w:rsidRPr="00EA1B57">
        <w:rPr>
          <w:rFonts w:cstheme="minorHAnsi"/>
        </w:rPr>
        <w:t xml:space="preserve">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w:t>
      </w:r>
      <w:r w:rsidR="008027AB" w:rsidRPr="00776C3B">
        <w:t>ключова</w:t>
      </w:r>
      <w:r w:rsidR="008027AB">
        <w:t>та</w:t>
      </w:r>
      <w:r w:rsidR="008027AB" w:rsidRPr="00776C3B">
        <w:t xml:space="preserve"> </w:t>
      </w:r>
      <w:bookmarkStart w:id="22" w:name="_Hlk129002850"/>
      <w:r w:rsidR="008027AB" w:rsidRPr="00776C3B">
        <w:t>професия/длъжност</w:t>
      </w:r>
      <w:r w:rsidR="008027AB">
        <w:t xml:space="preserve">    </w:t>
      </w:r>
      <w:bookmarkEnd w:id="22"/>
      <w:r w:rsidR="00736B5B" w:rsidRPr="00466878">
        <w:rPr>
          <w:b/>
          <w:bCs/>
        </w:rPr>
        <w:t>21496015 Инженер /конструктор/ по специално въоръжение и техника</w:t>
      </w:r>
      <w:r w:rsidR="00451E9E">
        <w:rPr>
          <w:rFonts w:cstheme="minorHAnsi"/>
        </w:rPr>
        <w:t>.</w:t>
      </w:r>
      <w:r w:rsidRPr="00EA1B57">
        <w:rPr>
          <w:rFonts w:cstheme="minorHAnsi"/>
        </w:rPr>
        <w:t xml:space="preserve"> </w:t>
      </w:r>
      <w:r w:rsidR="00451E9E">
        <w:rPr>
          <w:rFonts w:cstheme="minorHAnsi"/>
        </w:rPr>
        <w:t>Р</w:t>
      </w:r>
      <w:r w:rsidRPr="00EA1B57">
        <w:rPr>
          <w:rFonts w:cstheme="minorHAnsi"/>
        </w:rPr>
        <w:t>азлика</w:t>
      </w:r>
      <w:r w:rsidR="00451E9E">
        <w:rPr>
          <w:rFonts w:cstheme="minorHAnsi"/>
        </w:rPr>
        <w:t xml:space="preserve">та между изискваните и действителните нива(резултата от проучването)  на владеене </w:t>
      </w:r>
      <w:r w:rsidR="008027AB">
        <w:rPr>
          <w:rFonts w:cstheme="minorHAnsi"/>
        </w:rPr>
        <w:t xml:space="preserve"> </w:t>
      </w:r>
      <w:r w:rsidR="00451E9E">
        <w:rPr>
          <w:rFonts w:cstheme="minorHAnsi"/>
        </w:rPr>
        <w:t xml:space="preserve">е посочен </w:t>
      </w:r>
      <w:r w:rsidRPr="00EA1B57">
        <w:rPr>
          <w:rFonts w:cstheme="minorHAnsi"/>
        </w:rPr>
        <w:t xml:space="preserve">в </w:t>
      </w:r>
      <w:bookmarkStart w:id="23" w:name="_Hlk128580513"/>
      <w:r w:rsidRPr="00EA1B57">
        <w:rPr>
          <w:rFonts w:cstheme="minorHAnsi"/>
        </w:rPr>
        <w:t>Картата за оценка на дигиталните умения</w:t>
      </w:r>
      <w:r w:rsidR="00D42092">
        <w:rPr>
          <w:rFonts w:cstheme="minorHAnsi"/>
        </w:rPr>
        <w:t>. Тази разлика е</w:t>
      </w:r>
      <w:bookmarkEnd w:id="23"/>
      <w:r w:rsidRPr="00EA1B57">
        <w:rPr>
          <w:rFonts w:cstheme="minorHAnsi"/>
        </w:rPr>
        <w:t xml:space="preserve"> основа за продължаващо обучение на работещите в икономическата дейност/сектор</w:t>
      </w:r>
      <w:r w:rsidR="00D42092">
        <w:rPr>
          <w:rFonts w:cstheme="minorHAnsi"/>
        </w:rPr>
        <w:t xml:space="preserve"> </w:t>
      </w:r>
      <w:r w:rsidRPr="00EA1B57">
        <w:rPr>
          <w:rFonts w:cstheme="minorHAnsi"/>
        </w:rPr>
        <w:t xml:space="preserve"> </w:t>
      </w:r>
      <w:bookmarkStart w:id="24" w:name="_Hlk129004007"/>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36B5B" w:rsidRPr="00CD2D8A">
        <w:t xml:space="preserve">, </w:t>
      </w:r>
      <w:r w:rsidR="00D42092" w:rsidRPr="00D42092">
        <w:rPr>
          <w:rFonts w:cstheme="minorHAnsi"/>
        </w:rPr>
        <w:t xml:space="preserve"> </w:t>
      </w:r>
      <w:bookmarkEnd w:id="24"/>
      <w:r w:rsidR="00FF2F17" w:rsidRPr="00EA1B57">
        <w:rPr>
          <w:rFonts w:cstheme="minorHAnsi"/>
        </w:rPr>
        <w:t>и/</w:t>
      </w:r>
      <w:r w:rsidRPr="00EA1B57">
        <w:rPr>
          <w:rFonts w:cstheme="minorHAnsi"/>
        </w:rPr>
        <w:t>или за включване на нови специфични дигитални умения в унифицирани</w:t>
      </w:r>
      <w:r w:rsidR="00D42092">
        <w:rPr>
          <w:rFonts w:cstheme="minorHAnsi"/>
        </w:rPr>
        <w:t>я</w:t>
      </w:r>
      <w:r w:rsidRPr="00EA1B57">
        <w:rPr>
          <w:rFonts w:cstheme="minorHAnsi"/>
        </w:rPr>
        <w:t xml:space="preserve"> профил на ключов</w:t>
      </w:r>
      <w:r w:rsidR="00D42092">
        <w:rPr>
          <w:rFonts w:cstheme="minorHAnsi"/>
        </w:rPr>
        <w:t>ата</w:t>
      </w:r>
      <w:r w:rsidRPr="00EA1B57">
        <w:rPr>
          <w:rFonts w:cstheme="minorHAnsi"/>
        </w:rPr>
        <w:t xml:space="preserve"> </w:t>
      </w:r>
      <w:r w:rsidR="00D42092" w:rsidRPr="00776C3B">
        <w:t>професия/длъжност</w:t>
      </w:r>
      <w:r w:rsidR="00D42092">
        <w:t xml:space="preserve">    </w:t>
      </w:r>
      <w:r w:rsidR="00736B5B" w:rsidRPr="00466878">
        <w:rPr>
          <w:b/>
          <w:bCs/>
        </w:rPr>
        <w:t>21496015 Инженер /конструктор/ по специално въоръжение и техника</w:t>
      </w:r>
      <w:r w:rsidRPr="00EA1B57">
        <w:rPr>
          <w:rFonts w:cstheme="minorHAnsi"/>
        </w:rPr>
        <w:t>.</w:t>
      </w:r>
      <w:r w:rsidRPr="00593365">
        <w:rPr>
          <w:rFonts w:cstheme="minorHAnsi"/>
        </w:rPr>
        <w:t xml:space="preserve"> </w:t>
      </w:r>
    </w:p>
    <w:p w14:paraId="1DDC7B12" w14:textId="6279E80D" w:rsidR="005213B2" w:rsidRDefault="005213B2" w:rsidP="00423BA9">
      <w:pPr>
        <w:pStyle w:val="Heading2"/>
        <w:rPr>
          <w:rFonts w:cs="Calibri"/>
        </w:rPr>
      </w:pPr>
      <w:bookmarkStart w:id="25" w:name="_Toc131769830"/>
      <w:bookmarkEnd w:id="19"/>
      <w:r>
        <w:lastRenderedPageBreak/>
        <w:t>Актуализиране</w:t>
      </w:r>
      <w:r>
        <w:rPr>
          <w:noProof/>
        </w:rPr>
        <w:t xml:space="preserve"> на унифицираните профили на дигиталните умения</w:t>
      </w:r>
      <w:bookmarkEnd w:id="25"/>
      <w:r>
        <w:rPr>
          <w:rFonts w:cs="Calibri"/>
        </w:rPr>
        <w:t xml:space="preserve"> </w:t>
      </w:r>
    </w:p>
    <w:p w14:paraId="3656621B" w14:textId="3A03502F"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w:t>
      </w:r>
      <w:r w:rsidR="00D91F2D">
        <w:rPr>
          <w:b/>
        </w:rPr>
        <w:t>я</w:t>
      </w:r>
      <w:r w:rsidRPr="0021464F">
        <w:rPr>
          <w:b/>
        </w:rPr>
        <w:t xml:space="preserve"> профил на дигиталните умения</w:t>
      </w:r>
      <w:r w:rsidR="007C5911">
        <w:rPr>
          <w:rStyle w:val="FootnoteReference"/>
        </w:rPr>
        <w:footnoteReference w:id="5"/>
      </w:r>
      <w:r w:rsidR="00470FAD">
        <w:t xml:space="preserve"> </w:t>
      </w:r>
      <w:r w:rsidR="00D91F2D">
        <w:t xml:space="preserve">на </w:t>
      </w:r>
      <w:r w:rsidR="00D91F2D" w:rsidRPr="00776C3B">
        <w:t>професия</w:t>
      </w:r>
      <w:r w:rsidR="00D91F2D">
        <w:t>та</w:t>
      </w:r>
      <w:r w:rsidR="00D91F2D" w:rsidRPr="00776C3B">
        <w:t>/длъжност</w:t>
      </w:r>
      <w:r w:rsidR="00D91F2D">
        <w:t xml:space="preserve">та    </w:t>
      </w:r>
      <w:r w:rsidR="00736B5B" w:rsidRPr="00466878">
        <w:rPr>
          <w:b/>
          <w:bCs/>
        </w:rPr>
        <w:t>21496015 Инженер /конструктор/ по специално въоръжение и техника</w:t>
      </w:r>
      <w:r w:rsidR="00736B5B" w:rsidRPr="00EA1B57">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бъд</w:t>
      </w:r>
      <w:r w:rsidR="00D91F2D">
        <w:t>е</w:t>
      </w:r>
      <w:r w:rsidR="00221EA0" w:rsidRPr="00776C3B">
        <w:t xml:space="preserve"> актуализиран </w:t>
      </w:r>
      <w:r w:rsidR="00D91F2D">
        <w:t xml:space="preserve">унифицирания </w:t>
      </w:r>
      <w:r w:rsidR="00163A20" w:rsidRPr="00776C3B">
        <w:t>профил, за да отговаря на резултатите от проучването.</w:t>
      </w:r>
    </w:p>
    <w:p w14:paraId="2AFE72B0" w14:textId="26141263"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w:t>
      </w:r>
      <w:r w:rsidR="00D91F2D">
        <w:rPr>
          <w:iCs/>
          <w:noProof/>
        </w:rPr>
        <w:t>я</w:t>
      </w:r>
      <w:r w:rsidR="003A6A93" w:rsidRPr="00776C3B">
        <w:rPr>
          <w:iCs/>
          <w:noProof/>
        </w:rPr>
        <w:t xml:space="preserve"> профил </w:t>
      </w:r>
      <w:r w:rsidR="00D91F2D">
        <w:rPr>
          <w:iCs/>
          <w:noProof/>
        </w:rPr>
        <w:t xml:space="preserve">на </w:t>
      </w:r>
      <w:r w:rsidR="003A6A93" w:rsidRPr="00776C3B">
        <w:rPr>
          <w:iCs/>
          <w:noProof/>
        </w:rPr>
        <w:t>професи</w:t>
      </w:r>
      <w:r w:rsidR="00D91F2D">
        <w:rPr>
          <w:iCs/>
          <w:noProof/>
        </w:rPr>
        <w:t>ята</w:t>
      </w:r>
      <w:r w:rsidR="003A6A93" w:rsidRPr="00776C3B">
        <w:rPr>
          <w:iCs/>
          <w:noProof/>
        </w:rPr>
        <w:t>/длъжност</w:t>
      </w:r>
      <w:r w:rsidR="00D91F2D">
        <w:rPr>
          <w:iCs/>
          <w:noProof/>
        </w:rPr>
        <w:t xml:space="preserve">та </w:t>
      </w:r>
      <w:bookmarkStart w:id="26" w:name="_Hlk129015345"/>
      <w:r w:rsidR="00736B5B" w:rsidRPr="00466878">
        <w:rPr>
          <w:b/>
          <w:bCs/>
        </w:rPr>
        <w:t>21496015 Инженер /конструктор/ по специално въоръжение и техника</w:t>
      </w:r>
      <w:bookmarkEnd w:id="26"/>
      <w:r w:rsidRPr="00776C3B">
        <w:rPr>
          <w:iCs/>
          <w:noProof/>
        </w:rPr>
        <w:t xml:space="preserve">: отпадат или се добавят нови </w:t>
      </w:r>
      <w:r w:rsidRPr="00776C3B">
        <w:t xml:space="preserve">специфични дигитални </w:t>
      </w:r>
      <w:r w:rsidR="00451E9E">
        <w:t>умения/</w:t>
      </w:r>
      <w:r w:rsidRPr="00776C3B">
        <w:t xml:space="preserve">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6AD15658"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w:t>
      </w:r>
      <w:r w:rsidR="00D91F2D">
        <w:t>ата</w:t>
      </w:r>
      <w:r w:rsidR="00BC286D" w:rsidRPr="00DA0199">
        <w:t xml:space="preserve"> от икономическата дейност/сектор</w:t>
      </w:r>
      <w:r w:rsidR="00AE3C4F">
        <w:t xml:space="preserve"> </w:t>
      </w:r>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36B5B" w:rsidRPr="00CD2D8A">
        <w:t>,</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AE3C4F">
        <w:t>т</w:t>
      </w:r>
      <w:r w:rsidR="00DA0199" w:rsidRPr="00EA1B57">
        <w:rPr>
          <w:lang w:val="en-US"/>
        </w:rPr>
        <w:t>e</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669F0F41" w:rsidR="005213B2" w:rsidRPr="00DA0199" w:rsidRDefault="005213B2" w:rsidP="002659F3">
      <w:pPr>
        <w:pStyle w:val="Heading2"/>
      </w:pPr>
      <w:bookmarkStart w:id="27" w:name="_Toc131769831"/>
      <w:r w:rsidRPr="00A355E3">
        <w:t>Актуализиране</w:t>
      </w:r>
      <w:r w:rsidRPr="00DA0199">
        <w:t xml:space="preserve"> на програми</w:t>
      </w:r>
      <w:r>
        <w:t>те</w:t>
      </w:r>
      <w:r w:rsidRPr="00DA0199">
        <w:t xml:space="preserve"> за неформално обучение</w:t>
      </w:r>
      <w:bookmarkEnd w:id="27"/>
      <w:r w:rsidRPr="00DA0199">
        <w:t xml:space="preserve"> </w:t>
      </w:r>
    </w:p>
    <w:p w14:paraId="0C71B2BF" w14:textId="7275C279"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w:t>
      </w:r>
      <w:r w:rsidR="003A6A93" w:rsidRPr="003C5381">
        <w:rPr>
          <w:b/>
          <w:bCs/>
        </w:rPr>
        <w:lastRenderedPageBreak/>
        <w:t>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AE3C4F">
        <w:rPr>
          <w:b/>
          <w:bCs/>
        </w:rPr>
        <w:t xml:space="preserve"> </w:t>
      </w:r>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C5911">
        <w:rPr>
          <w:rStyle w:val="FootnoteReference"/>
        </w:rPr>
        <w:footnoteReference w:id="7"/>
      </w:r>
      <w:r w:rsidR="007C5911">
        <w:t xml:space="preserve"> </w:t>
      </w:r>
      <w:r w:rsidR="00E219CC">
        <w:t xml:space="preserve">(Приложение </w:t>
      </w:r>
      <w:r w:rsidR="0078385B">
        <w:t>4</w:t>
      </w:r>
      <w:r w:rsidR="00E219CC">
        <w:t>)</w:t>
      </w:r>
      <w:r w:rsidR="00451E9E">
        <w:t>.</w:t>
      </w:r>
      <w:r w:rsidRPr="00776C3B">
        <w:t xml:space="preserve"> </w:t>
      </w:r>
    </w:p>
    <w:p w14:paraId="00E2EEC8" w14:textId="379DD079"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E3C4F">
        <w:t xml:space="preserve">  </w:t>
      </w:r>
      <w:r w:rsidR="00A323D0" w:rsidRPr="00776C3B">
        <w:t>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 по време </w:t>
      </w:r>
      <w:r w:rsidR="00A323D0" w:rsidRPr="00776C3B">
        <w:t xml:space="preserve">на </w:t>
      </w:r>
      <w:r w:rsidRPr="00776C3B">
        <w:t>проучването и обсъждането на унифицирани</w:t>
      </w:r>
      <w:r w:rsidR="00E45DCC">
        <w:t>я</w:t>
      </w:r>
      <w:r w:rsidRPr="00776C3B">
        <w:t xml:space="preserve"> профил</w:t>
      </w:r>
      <w:r w:rsidR="00E45DCC">
        <w:t xml:space="preserve"> и на разработените нови такива за възникналите нови ключови пофесии/длъжности, ако има такива</w:t>
      </w:r>
      <w:r w:rsidRPr="00776C3B">
        <w:t xml:space="preserve">. </w:t>
      </w:r>
    </w:p>
    <w:p w14:paraId="1CEF1446" w14:textId="17CE6B5A" w:rsidR="00C81467" w:rsidRPr="00776C3B" w:rsidRDefault="00C81467" w:rsidP="001E13A2">
      <w:r w:rsidRPr="00776C3B">
        <w:t xml:space="preserve">При актуализирането </w:t>
      </w:r>
      <w:r w:rsidR="00A323D0" w:rsidRPr="00776C3B">
        <w:t xml:space="preserve">на </w:t>
      </w:r>
      <w:r w:rsidR="00451E9E">
        <w:t xml:space="preserve">учебното съдържание в </w:t>
      </w:r>
      <w:r w:rsidR="00A323D0" w:rsidRPr="00776C3B">
        <w:t xml:space="preserve">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24B14280"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за длъжност/професия</w:t>
      </w:r>
      <w:r w:rsidR="00E45DCC">
        <w:rPr>
          <w:rFonts w:eastAsia="Calibri"/>
          <w:bCs/>
        </w:rPr>
        <w:t xml:space="preserve"> </w:t>
      </w:r>
      <w:r w:rsidR="005057E1" w:rsidRPr="00466878">
        <w:rPr>
          <w:b/>
          <w:bCs/>
        </w:rPr>
        <w:t>21496015 Инженер /конструктор/ по специално въоръжение и техника</w:t>
      </w:r>
      <w:r w:rsidRPr="00776C3B">
        <w:rPr>
          <w:rFonts w:eastAsia="Calibri"/>
          <w:bCs/>
        </w:rPr>
        <w:t xml:space="preserve">.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700CD88B" w:rsidR="00A07108" w:rsidRPr="00776C3B" w:rsidRDefault="00A07108" w:rsidP="009025B8">
      <w:pPr>
        <w:pStyle w:val="ListParagraph"/>
        <w:numPr>
          <w:ilvl w:val="1"/>
          <w:numId w:val="11"/>
        </w:numPr>
      </w:pPr>
      <w:r w:rsidRPr="00776C3B">
        <w:t xml:space="preserve">Допълване или премахване на </w:t>
      </w:r>
      <w:bookmarkStart w:id="28" w:name="_Hlk129004412"/>
      <w:r w:rsidRPr="00776C3B">
        <w:t>специфичн</w:t>
      </w:r>
      <w:r w:rsidR="00E45DCC">
        <w:t>о</w:t>
      </w:r>
      <w:r w:rsidRPr="00776C3B">
        <w:t xml:space="preserve"> дигиталн</w:t>
      </w:r>
      <w:r w:rsidR="00E45DCC">
        <w:t>о умение/</w:t>
      </w:r>
      <w:r w:rsidRPr="00776C3B">
        <w:t>компетентност</w:t>
      </w:r>
      <w:bookmarkEnd w:id="28"/>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06C25006"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w:t>
      </w:r>
      <w:r w:rsidR="00E45DCC">
        <w:rPr>
          <w:rStyle w:val="Emphasis"/>
          <w:i w:val="0"/>
          <w:iCs w:val="0"/>
        </w:rPr>
        <w:t>о</w:t>
      </w:r>
      <w:r w:rsidRPr="0078385B">
        <w:rPr>
          <w:rStyle w:val="Emphasis"/>
          <w:i w:val="0"/>
          <w:iCs w:val="0"/>
        </w:rPr>
        <w:t xml:space="preserve"> добавен</w:t>
      </w:r>
      <w:r w:rsidR="00E45DCC">
        <w:rPr>
          <w:rStyle w:val="Emphasis"/>
          <w:i w:val="0"/>
          <w:iCs w:val="0"/>
        </w:rPr>
        <w:t>о</w:t>
      </w:r>
      <w:r w:rsidRPr="0078385B">
        <w:rPr>
          <w:rStyle w:val="Emphasis"/>
          <w:i w:val="0"/>
          <w:iCs w:val="0"/>
        </w:rPr>
        <w:t xml:space="preserve"> </w:t>
      </w:r>
      <w:r w:rsidR="00E45DCC" w:rsidRPr="00776C3B">
        <w:t>специфичн</w:t>
      </w:r>
      <w:r w:rsidR="00E45DCC">
        <w:t>о</w:t>
      </w:r>
      <w:r w:rsidR="00E45DCC" w:rsidRPr="00776C3B">
        <w:t xml:space="preserve"> дигиталн</w:t>
      </w:r>
      <w:r w:rsidR="00E45DCC">
        <w:t>о умение/</w:t>
      </w:r>
      <w:r w:rsidR="00E45DCC" w:rsidRPr="00776C3B">
        <w:t>компетентност</w:t>
      </w:r>
      <w:r w:rsidR="00E45DCC" w:rsidRPr="0078385B">
        <w:rPr>
          <w:rStyle w:val="Emphasis"/>
          <w:i w:val="0"/>
          <w:iCs w:val="0"/>
        </w:rPr>
        <w:t xml:space="preserve"> </w:t>
      </w:r>
      <w:r w:rsidRPr="0078385B">
        <w:rPr>
          <w:rStyle w:val="Emphasis"/>
          <w:i w:val="0"/>
          <w:iCs w:val="0"/>
        </w:rPr>
        <w:t>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E45DCC" w:rsidRPr="00776C3B">
        <w:t>специфичн</w:t>
      </w:r>
      <w:r w:rsidR="00E45DCC">
        <w:t>о</w:t>
      </w:r>
      <w:r w:rsidR="00E45DCC" w:rsidRPr="00776C3B">
        <w:t xml:space="preserve"> дигиталн</w:t>
      </w:r>
      <w:r w:rsidR="00E45DCC">
        <w:t>о умение/</w:t>
      </w:r>
      <w:r w:rsidR="00E45DCC" w:rsidRPr="00776C3B">
        <w:t>компетентност</w:t>
      </w:r>
      <w:r w:rsidRPr="0078385B">
        <w:rPr>
          <w:rStyle w:val="Emphasis"/>
          <w:i w:val="0"/>
          <w:iCs w:val="0"/>
          <w:noProof/>
        </w:rPr>
        <w:t>, ко</w:t>
      </w:r>
      <w:r w:rsidR="00E45DCC">
        <w:rPr>
          <w:rStyle w:val="Emphasis"/>
          <w:i w:val="0"/>
          <w:iCs w:val="0"/>
          <w:noProof/>
        </w:rPr>
        <w:t>е</w:t>
      </w:r>
      <w:r w:rsidRPr="0078385B">
        <w:rPr>
          <w:rStyle w:val="Emphasis"/>
          <w:i w:val="0"/>
          <w:iCs w:val="0"/>
          <w:noProof/>
        </w:rPr>
        <w:t>то не може да бъде съотнесен</w:t>
      </w:r>
      <w:r w:rsidR="00E45DCC">
        <w:rPr>
          <w:rStyle w:val="Emphasis"/>
          <w:i w:val="0"/>
          <w:iCs w:val="0"/>
          <w:noProof/>
        </w:rPr>
        <w:t>о</w:t>
      </w:r>
      <w:r w:rsidRPr="0078385B">
        <w:rPr>
          <w:rStyle w:val="Emphasis"/>
          <w:i w:val="0"/>
          <w:iCs w:val="0"/>
          <w:noProof/>
        </w:rPr>
        <w:t xml:space="preserve">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w:t>
      </w:r>
      <w:r w:rsidR="00E45DCC">
        <w:rPr>
          <w:rStyle w:val="Emphasis"/>
          <w:i w:val="0"/>
          <w:iCs w:val="0"/>
          <w:noProof/>
        </w:rPr>
        <w:t>ова</w:t>
      </w:r>
      <w:r w:rsidR="003E2D3E" w:rsidRPr="0078385B">
        <w:rPr>
          <w:rStyle w:val="Emphasis"/>
          <w:i w:val="0"/>
          <w:iCs w:val="0"/>
          <w:noProof/>
        </w:rPr>
        <w:t xml:space="preserve">  </w:t>
      </w:r>
      <w:r w:rsidR="00E45DCC" w:rsidRPr="00776C3B">
        <w:t>специфичн</w:t>
      </w:r>
      <w:r w:rsidR="00E45DCC">
        <w:t>о</w:t>
      </w:r>
      <w:r w:rsidR="00E45DCC" w:rsidRPr="00776C3B">
        <w:t xml:space="preserve"> дигиталн</w:t>
      </w:r>
      <w:r w:rsidR="00E45DCC">
        <w:t>о умение/</w:t>
      </w:r>
      <w:r w:rsidR="00E45DCC" w:rsidRPr="00776C3B">
        <w:t>компетентност</w:t>
      </w:r>
      <w:r w:rsidR="00E45DCC" w:rsidRPr="0078385B">
        <w:rPr>
          <w:rStyle w:val="Emphasis"/>
          <w:i w:val="0"/>
          <w:iCs w:val="0"/>
          <w:noProof/>
        </w:rPr>
        <w:t xml:space="preserve"> </w:t>
      </w:r>
      <w:r w:rsidR="003E2D3E" w:rsidRPr="0078385B">
        <w:rPr>
          <w:rStyle w:val="Emphasis"/>
          <w:i w:val="0"/>
          <w:iCs w:val="0"/>
          <w:noProof/>
        </w:rPr>
        <w:t xml:space="preserve">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15506A59" w14:textId="77777777" w:rsidR="00DD6B3F" w:rsidRDefault="00DD6B3F" w:rsidP="00643B4C">
      <w:pPr>
        <w:spacing w:before="0"/>
        <w:jc w:val="center"/>
        <w:rPr>
          <w:rFonts w:eastAsia="Calibri" w:cs="Times New Roman"/>
          <w:b/>
          <w:bCs/>
          <w:caps/>
          <w:sz w:val="20"/>
          <w:szCs w:val="20"/>
          <w:lang w:eastAsia="en-US"/>
        </w:rPr>
      </w:pPr>
    </w:p>
    <w:p w14:paraId="0402B75B" w14:textId="77777777" w:rsidR="00DD6B3F" w:rsidRDefault="00DD6B3F" w:rsidP="00643B4C">
      <w:pPr>
        <w:spacing w:before="0"/>
        <w:jc w:val="center"/>
        <w:rPr>
          <w:rFonts w:eastAsia="Calibri" w:cs="Times New Roman"/>
          <w:b/>
          <w:bCs/>
          <w:caps/>
          <w:sz w:val="20"/>
          <w:szCs w:val="20"/>
          <w:lang w:eastAsia="en-US"/>
        </w:rPr>
      </w:pPr>
    </w:p>
    <w:p w14:paraId="0A9C9E80" w14:textId="77777777" w:rsidR="00DD6B3F" w:rsidRDefault="00DD6B3F" w:rsidP="00643B4C">
      <w:pPr>
        <w:spacing w:before="0"/>
        <w:jc w:val="center"/>
        <w:rPr>
          <w:rFonts w:eastAsia="Calibri" w:cs="Times New Roman"/>
          <w:b/>
          <w:bCs/>
          <w:caps/>
          <w:sz w:val="20"/>
          <w:szCs w:val="20"/>
          <w:lang w:eastAsia="en-US"/>
        </w:rPr>
      </w:pPr>
    </w:p>
    <w:p w14:paraId="3D3C59EC" w14:textId="7740C398" w:rsidR="00643B4C" w:rsidRPr="00643B4C" w:rsidRDefault="00643B4C" w:rsidP="00643B4C">
      <w:pPr>
        <w:spacing w:before="0"/>
        <w:jc w:val="center"/>
        <w:rPr>
          <w:rFonts w:eastAsia="Calibri" w:cs="Times New Roman"/>
          <w:b/>
          <w:bCs/>
          <w:caps/>
          <w:sz w:val="20"/>
          <w:szCs w:val="20"/>
          <w:lang w:eastAsia="en-US"/>
        </w:rPr>
      </w:pPr>
      <w:r w:rsidRPr="00643B4C">
        <w:rPr>
          <w:rFonts w:eastAsia="Calibri" w:cs="Times New Roman"/>
          <w:b/>
          <w:bCs/>
          <w:caps/>
          <w:sz w:val="20"/>
          <w:szCs w:val="20"/>
          <w:lang w:eastAsia="en-US"/>
        </w:rPr>
        <w:lastRenderedPageBreak/>
        <w:t>УЧЕБНО СЪДЪРЖАНИЕ</w:t>
      </w:r>
    </w:p>
    <w:p w14:paraId="4F527904" w14:textId="77777777" w:rsidR="00643B4C" w:rsidRPr="00643B4C" w:rsidRDefault="00643B4C" w:rsidP="00643B4C">
      <w:pPr>
        <w:spacing w:before="0"/>
        <w:jc w:val="center"/>
        <w:rPr>
          <w:rFonts w:eastAsia="Calibri" w:cs="Times New Roman"/>
          <w:b/>
          <w:bCs/>
          <w:caps/>
          <w:sz w:val="20"/>
          <w:szCs w:val="20"/>
          <w:lang w:eastAsia="en-US"/>
        </w:rPr>
      </w:pPr>
      <w:r w:rsidRPr="00643B4C">
        <w:rPr>
          <w:rFonts w:eastAsia="Calibri" w:cs="Times New Roman"/>
          <w:b/>
          <w:bCs/>
          <w:caps/>
          <w:sz w:val="20"/>
          <w:szCs w:val="20"/>
          <w:lang w:eastAsia="en-US"/>
        </w:rPr>
        <w:t xml:space="preserve">ЗА ПРИДОБИВАНЕ И РАЗВИТИЕ НА СПЕЦИФИЧНИ ДИГИТАЛНИ УМЕНИЯ/КОМПЕТЕНТНОСТИ </w:t>
      </w:r>
    </w:p>
    <w:p w14:paraId="29F976D4" w14:textId="7E5656D2" w:rsidR="00643B4C" w:rsidRPr="00643B4C" w:rsidRDefault="00736B5B" w:rsidP="00643B4C">
      <w:pPr>
        <w:spacing w:before="0"/>
        <w:jc w:val="center"/>
        <w:rPr>
          <w:rFonts w:eastAsia="Calibri" w:cs="Times New Roman"/>
          <w:b/>
          <w:bCs/>
          <w:caps/>
          <w:sz w:val="20"/>
          <w:szCs w:val="20"/>
          <w:lang w:eastAsia="en-US"/>
        </w:rPr>
      </w:pPr>
      <w:r w:rsidRPr="00736B5B">
        <w:rPr>
          <w:rFonts w:eastAsia="Calibri" w:cs="Times New Roman"/>
          <w:b/>
          <w:bCs/>
          <w:caps/>
          <w:sz w:val="20"/>
          <w:szCs w:val="20"/>
          <w:lang w:eastAsia="en-US"/>
        </w:rPr>
        <w:t>21496015 Инженер /конструктор/ по специално въоръжение и техника</w:t>
      </w:r>
    </w:p>
    <w:p w14:paraId="62507DD4" w14:textId="77777777" w:rsidR="00643B4C" w:rsidRPr="00643B4C" w:rsidRDefault="00643B4C" w:rsidP="00643B4C">
      <w:pPr>
        <w:spacing w:before="120"/>
        <w:rPr>
          <w:rFonts w:eastAsia="Calibri"/>
          <w:bCs/>
          <w:i/>
          <w:sz w:val="20"/>
          <w:szCs w:val="20"/>
          <w:lang w:eastAsia="en-US"/>
        </w:rPr>
      </w:pPr>
      <w:r w:rsidRPr="00643B4C">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362" w:type="dxa"/>
        <w:tblLayout w:type="fixed"/>
        <w:tblLook w:val="04A0" w:firstRow="1" w:lastRow="0" w:firstColumn="1" w:lastColumn="0" w:noHBand="0" w:noVBand="1"/>
      </w:tblPr>
      <w:tblGrid>
        <w:gridCol w:w="2689"/>
        <w:gridCol w:w="992"/>
        <w:gridCol w:w="5670"/>
        <w:gridCol w:w="11"/>
      </w:tblGrid>
      <w:tr w:rsidR="00643B4C" w:rsidRPr="00643B4C" w14:paraId="460646E0" w14:textId="77777777" w:rsidTr="000607BF">
        <w:trPr>
          <w:gridAfter w:val="1"/>
          <w:wAfter w:w="11" w:type="dxa"/>
          <w:trHeight w:val="1207"/>
        </w:trPr>
        <w:tc>
          <w:tcPr>
            <w:tcW w:w="2689" w:type="dxa"/>
            <w:shd w:val="clear" w:color="auto" w:fill="F2F2F2"/>
          </w:tcPr>
          <w:p w14:paraId="44F80D8D" w14:textId="77777777" w:rsidR="00643B4C" w:rsidRPr="00643B4C" w:rsidRDefault="00643B4C" w:rsidP="004A54EC">
            <w:pPr>
              <w:spacing w:before="0" w:line="240" w:lineRule="auto"/>
              <w:jc w:val="center"/>
              <w:rPr>
                <w:rFonts w:eastAsia="Calibri" w:cs="Times New Roman"/>
                <w:b/>
                <w:sz w:val="20"/>
                <w:szCs w:val="20"/>
                <w:lang w:eastAsia="en-US"/>
              </w:rPr>
            </w:pPr>
          </w:p>
          <w:p w14:paraId="7B2CA466" w14:textId="77777777" w:rsidR="00643B4C" w:rsidRPr="00643B4C" w:rsidRDefault="00643B4C" w:rsidP="004A54EC">
            <w:pPr>
              <w:spacing w:before="0" w:line="240" w:lineRule="auto"/>
              <w:jc w:val="center"/>
              <w:rPr>
                <w:rFonts w:eastAsia="Calibri" w:cs="Times New Roman"/>
                <w:b/>
                <w:sz w:val="20"/>
                <w:szCs w:val="20"/>
                <w:lang w:eastAsia="en-US"/>
              </w:rPr>
            </w:pPr>
          </w:p>
          <w:p w14:paraId="7AABD683" w14:textId="77777777" w:rsidR="00643B4C" w:rsidRPr="00643B4C" w:rsidRDefault="00643B4C" w:rsidP="004A54EC">
            <w:pPr>
              <w:spacing w:before="0" w:line="240" w:lineRule="auto"/>
              <w:jc w:val="center"/>
              <w:rPr>
                <w:rFonts w:eastAsia="Calibri" w:cs="Times New Roman"/>
                <w:b/>
                <w:sz w:val="20"/>
                <w:szCs w:val="20"/>
                <w:lang w:eastAsia="en-US"/>
              </w:rPr>
            </w:pPr>
          </w:p>
          <w:p w14:paraId="2D514A5D" w14:textId="77777777" w:rsidR="00643B4C" w:rsidRPr="00643B4C" w:rsidRDefault="00643B4C" w:rsidP="004A54EC">
            <w:pPr>
              <w:spacing w:before="0" w:line="240" w:lineRule="auto"/>
              <w:jc w:val="center"/>
              <w:rPr>
                <w:rFonts w:eastAsia="Calibri" w:cs="Times New Roman"/>
                <w:b/>
                <w:sz w:val="20"/>
                <w:szCs w:val="20"/>
                <w:lang w:eastAsia="en-US"/>
              </w:rPr>
            </w:pPr>
          </w:p>
          <w:p w14:paraId="229EA57B" w14:textId="77777777" w:rsidR="00643B4C" w:rsidRPr="00643B4C" w:rsidRDefault="00643B4C" w:rsidP="004A54EC">
            <w:pPr>
              <w:spacing w:before="0" w:line="240" w:lineRule="auto"/>
              <w:jc w:val="center"/>
              <w:rPr>
                <w:rFonts w:eastAsia="Calibri" w:cs="Times New Roman"/>
                <w:b/>
                <w:color w:val="0070C0"/>
                <w:sz w:val="20"/>
                <w:szCs w:val="20"/>
                <w:lang w:eastAsia="en-US"/>
              </w:rPr>
            </w:pPr>
            <w:r w:rsidRPr="00643B4C">
              <w:rPr>
                <w:rFonts w:eastAsia="Calibri" w:cs="Times New Roman"/>
                <w:b/>
                <w:sz w:val="20"/>
                <w:szCs w:val="20"/>
                <w:lang w:eastAsia="en-US"/>
              </w:rPr>
              <w:t>МОДУЛ, ТЕМИ</w:t>
            </w:r>
          </w:p>
        </w:tc>
        <w:tc>
          <w:tcPr>
            <w:tcW w:w="992" w:type="dxa"/>
            <w:shd w:val="clear" w:color="auto" w:fill="F2F2F2"/>
          </w:tcPr>
          <w:p w14:paraId="3B3F3567" w14:textId="77777777" w:rsidR="00643B4C" w:rsidRPr="00643B4C" w:rsidRDefault="00643B4C" w:rsidP="004A54EC">
            <w:pPr>
              <w:spacing w:before="0" w:line="240" w:lineRule="auto"/>
              <w:rPr>
                <w:rFonts w:eastAsia="Calibri"/>
                <w:b/>
                <w:bCs/>
                <w:sz w:val="20"/>
                <w:szCs w:val="20"/>
                <w:lang w:eastAsia="en-US"/>
              </w:rPr>
            </w:pPr>
            <w:r w:rsidRPr="00643B4C">
              <w:rPr>
                <w:rFonts w:eastAsia="Calibri"/>
                <w:b/>
                <w:bCs/>
                <w:sz w:val="20"/>
                <w:szCs w:val="20"/>
                <w:lang w:eastAsia="en-US"/>
              </w:rPr>
              <w:t>Очаквано ниво на владеене на дигиталното умение/компетентност</w:t>
            </w:r>
          </w:p>
        </w:tc>
        <w:tc>
          <w:tcPr>
            <w:tcW w:w="5670" w:type="dxa"/>
            <w:shd w:val="clear" w:color="auto" w:fill="F2F2F2"/>
          </w:tcPr>
          <w:p w14:paraId="02F08278" w14:textId="77777777" w:rsidR="00643B4C" w:rsidRPr="00643B4C" w:rsidRDefault="00643B4C" w:rsidP="004A54EC">
            <w:pPr>
              <w:spacing w:before="0" w:line="240" w:lineRule="auto"/>
              <w:rPr>
                <w:rFonts w:eastAsia="Calibri"/>
                <w:b/>
                <w:bCs/>
                <w:sz w:val="20"/>
                <w:szCs w:val="20"/>
                <w:lang w:eastAsia="en-US"/>
              </w:rPr>
            </w:pPr>
          </w:p>
          <w:p w14:paraId="5FC9E519" w14:textId="77777777" w:rsidR="00643B4C" w:rsidRPr="00643B4C" w:rsidRDefault="00643B4C" w:rsidP="004A54EC">
            <w:pPr>
              <w:spacing w:before="0" w:line="240" w:lineRule="auto"/>
              <w:rPr>
                <w:rFonts w:eastAsia="Calibri"/>
                <w:b/>
                <w:bCs/>
                <w:sz w:val="20"/>
                <w:szCs w:val="20"/>
                <w:lang w:eastAsia="en-US"/>
              </w:rPr>
            </w:pPr>
          </w:p>
          <w:p w14:paraId="5F66D011" w14:textId="77777777" w:rsidR="00643B4C" w:rsidRPr="00643B4C" w:rsidRDefault="00643B4C" w:rsidP="004A54EC">
            <w:pPr>
              <w:spacing w:before="0" w:line="240" w:lineRule="auto"/>
              <w:jc w:val="center"/>
              <w:rPr>
                <w:rFonts w:eastAsia="Calibri"/>
                <w:b/>
                <w:bCs/>
                <w:sz w:val="20"/>
                <w:szCs w:val="20"/>
                <w:lang w:eastAsia="en-US"/>
              </w:rPr>
            </w:pPr>
          </w:p>
          <w:p w14:paraId="064900CF" w14:textId="77777777" w:rsidR="00643B4C" w:rsidRPr="00643B4C" w:rsidRDefault="00643B4C" w:rsidP="004A54EC">
            <w:pPr>
              <w:spacing w:before="0" w:line="240" w:lineRule="auto"/>
              <w:jc w:val="center"/>
              <w:rPr>
                <w:rFonts w:eastAsia="Calibri"/>
                <w:b/>
                <w:bCs/>
                <w:sz w:val="20"/>
                <w:szCs w:val="20"/>
                <w:lang w:eastAsia="en-US"/>
              </w:rPr>
            </w:pPr>
          </w:p>
          <w:p w14:paraId="39B0B681" w14:textId="77777777" w:rsidR="00643B4C" w:rsidRPr="00643B4C" w:rsidRDefault="00643B4C" w:rsidP="004A54EC">
            <w:pPr>
              <w:spacing w:before="0" w:line="240" w:lineRule="auto"/>
              <w:jc w:val="center"/>
              <w:rPr>
                <w:rFonts w:eastAsia="Calibri"/>
                <w:b/>
                <w:bCs/>
                <w:sz w:val="20"/>
                <w:szCs w:val="20"/>
                <w:lang w:eastAsia="en-US"/>
              </w:rPr>
            </w:pPr>
            <w:r w:rsidRPr="00643B4C">
              <w:rPr>
                <w:rFonts w:eastAsia="Calibri"/>
                <w:b/>
                <w:bCs/>
                <w:sz w:val="20"/>
                <w:szCs w:val="20"/>
                <w:lang w:eastAsia="en-US"/>
              </w:rPr>
              <w:t>Очаквани резултати от обучението:</w:t>
            </w:r>
          </w:p>
          <w:p w14:paraId="4B563A45" w14:textId="77777777" w:rsidR="00643B4C" w:rsidRPr="00643B4C" w:rsidRDefault="00643B4C" w:rsidP="004A54EC">
            <w:pPr>
              <w:spacing w:before="0" w:line="240" w:lineRule="auto"/>
              <w:jc w:val="center"/>
              <w:rPr>
                <w:rFonts w:eastAsia="Calibri" w:cs="Times New Roman"/>
                <w:bCs/>
                <w:i/>
                <w:iCs/>
                <w:color w:val="0070C0"/>
                <w:sz w:val="20"/>
                <w:szCs w:val="20"/>
                <w:lang w:eastAsia="en-US"/>
              </w:rPr>
            </w:pPr>
            <w:r w:rsidRPr="00643B4C">
              <w:rPr>
                <w:rFonts w:eastAsia="Calibri"/>
                <w:b/>
                <w:sz w:val="20"/>
                <w:szCs w:val="20"/>
                <w:lang w:eastAsia="en-US"/>
              </w:rPr>
              <w:t>знания, умения, компетентности</w:t>
            </w:r>
          </w:p>
        </w:tc>
      </w:tr>
      <w:tr w:rsidR="00643B4C" w:rsidRPr="00643B4C" w14:paraId="37D0493C" w14:textId="77777777" w:rsidTr="000607BF">
        <w:tc>
          <w:tcPr>
            <w:tcW w:w="9362" w:type="dxa"/>
            <w:gridSpan w:val="4"/>
            <w:shd w:val="clear" w:color="auto" w:fill="BDD6EE" w:themeFill="accent1" w:themeFillTint="66"/>
          </w:tcPr>
          <w:p w14:paraId="79D9E918" w14:textId="7ACD0AD5" w:rsidR="00643B4C" w:rsidRPr="00643B4C" w:rsidRDefault="00643B4C" w:rsidP="004A54EC">
            <w:pPr>
              <w:spacing w:before="60" w:after="60"/>
              <w:jc w:val="left"/>
              <w:rPr>
                <w:rFonts w:eastAsia="Calibri" w:cs="Times New Roman"/>
                <w:b/>
                <w:bCs/>
                <w:sz w:val="20"/>
                <w:szCs w:val="20"/>
                <w:lang w:eastAsia="en-US"/>
              </w:rPr>
            </w:pPr>
            <w:r w:rsidRPr="00643B4C">
              <w:rPr>
                <w:rFonts w:eastAsia="Calibri" w:cs="Times New Roman"/>
                <w:b/>
                <w:sz w:val="20"/>
                <w:szCs w:val="20"/>
                <w:lang w:eastAsia="en-US"/>
              </w:rPr>
              <w:t>МОДУЛ</w:t>
            </w:r>
            <w:r w:rsidR="00160130">
              <w:rPr>
                <w:rFonts w:eastAsia="Calibri" w:cs="Times New Roman"/>
                <w:b/>
                <w:sz w:val="20"/>
                <w:szCs w:val="20"/>
                <w:lang w:eastAsia="en-US"/>
              </w:rPr>
              <w:t xml:space="preserve"> 1</w:t>
            </w:r>
            <w:r w:rsidRPr="00643B4C">
              <w:rPr>
                <w:rFonts w:eastAsia="Calibri" w:cs="Times New Roman"/>
                <w:b/>
                <w:sz w:val="20"/>
                <w:szCs w:val="20"/>
                <w:lang w:eastAsia="en-US"/>
              </w:rPr>
              <w:t xml:space="preserve">: </w:t>
            </w:r>
            <w:r w:rsidR="00160130">
              <w:rPr>
                <w:rFonts w:eastAsia="Calibri" w:cs="Times New Roman"/>
                <w:b/>
                <w:sz w:val="20"/>
                <w:szCs w:val="20"/>
                <w:lang w:eastAsia="en-US"/>
              </w:rPr>
              <w:t>СЪЗДАВАНЕ НА ДИГИТАЛНО СЪДЪРЖАНИЕ</w:t>
            </w:r>
          </w:p>
        </w:tc>
      </w:tr>
      <w:tr w:rsidR="00643B4C" w:rsidRPr="00643B4C" w14:paraId="4AF4CD83" w14:textId="77777777" w:rsidTr="000607BF">
        <w:trPr>
          <w:gridAfter w:val="1"/>
          <w:wAfter w:w="11" w:type="dxa"/>
        </w:trPr>
        <w:tc>
          <w:tcPr>
            <w:tcW w:w="2689" w:type="dxa"/>
          </w:tcPr>
          <w:p w14:paraId="4C966507" w14:textId="51F5B531" w:rsidR="00643B4C" w:rsidRPr="00643B4C" w:rsidRDefault="00643B4C" w:rsidP="004A54EC">
            <w:pPr>
              <w:spacing w:before="0" w:line="240" w:lineRule="auto"/>
              <w:rPr>
                <w:rFonts w:eastAsia="Calibri" w:cs="Times New Roman"/>
                <w:b/>
                <w:sz w:val="20"/>
                <w:szCs w:val="20"/>
                <w:lang w:eastAsia="en-US"/>
              </w:rPr>
            </w:pPr>
            <w:r w:rsidRPr="00643B4C">
              <w:rPr>
                <w:rFonts w:eastAsia="Calibri" w:cs="Times New Roman"/>
                <w:b/>
                <w:sz w:val="20"/>
                <w:szCs w:val="20"/>
                <w:lang w:eastAsia="en-US"/>
              </w:rPr>
              <w:t>ТЕМА</w:t>
            </w:r>
            <w:r w:rsidR="004D6C05">
              <w:rPr>
                <w:rFonts w:eastAsia="Calibri" w:cs="Times New Roman"/>
                <w:b/>
                <w:sz w:val="20"/>
                <w:szCs w:val="20"/>
                <w:lang w:eastAsia="en-US"/>
              </w:rPr>
              <w:t xml:space="preserve"> 1: </w:t>
            </w:r>
            <w:r w:rsidR="00160130" w:rsidRPr="00160130">
              <w:rPr>
                <w:rFonts w:eastAsia="Calibri" w:cs="Times New Roman"/>
                <w:b/>
                <w:sz w:val="20"/>
                <w:szCs w:val="20"/>
                <w:lang w:eastAsia="en-US"/>
              </w:rPr>
              <w:t>Дигитално съдържание чрез съвременните</w:t>
            </w:r>
            <w:r w:rsidR="004D6C05">
              <w:rPr>
                <w:rFonts w:eastAsia="Calibri" w:cs="Times New Roman"/>
                <w:b/>
                <w:sz w:val="20"/>
                <w:szCs w:val="20"/>
                <w:lang w:eastAsia="en-US"/>
              </w:rPr>
              <w:t xml:space="preserve"> </w:t>
            </w:r>
            <w:r w:rsidR="00160130" w:rsidRPr="00160130">
              <w:rPr>
                <w:rFonts w:eastAsia="Calibri" w:cs="Times New Roman"/>
                <w:b/>
                <w:sz w:val="20"/>
                <w:szCs w:val="20"/>
                <w:lang w:eastAsia="en-US"/>
              </w:rPr>
              <w:t>CAD/CAM/CAE технологии и средства на тримерното инженерно моделиране</w:t>
            </w:r>
          </w:p>
          <w:p w14:paraId="40AE9C67" w14:textId="77777777" w:rsidR="00643B4C" w:rsidRPr="00643B4C" w:rsidRDefault="00643B4C" w:rsidP="004A54EC">
            <w:pPr>
              <w:spacing w:before="0" w:line="240" w:lineRule="auto"/>
              <w:rPr>
                <w:rFonts w:eastAsia="Calibri" w:cs="Times New Roman"/>
                <w:b/>
                <w:color w:val="0070C0"/>
                <w:sz w:val="20"/>
                <w:szCs w:val="20"/>
                <w:lang w:eastAsia="en-US"/>
              </w:rPr>
            </w:pPr>
          </w:p>
        </w:tc>
        <w:tc>
          <w:tcPr>
            <w:tcW w:w="992" w:type="dxa"/>
          </w:tcPr>
          <w:p w14:paraId="05B2F39D" w14:textId="7CC0283E" w:rsidR="00643B4C" w:rsidRPr="00643B4C" w:rsidRDefault="00160130" w:rsidP="004A54EC">
            <w:pPr>
              <w:spacing w:before="60" w:after="60"/>
              <w:jc w:val="center"/>
              <w:rPr>
                <w:rFonts w:eastAsia="Calibri" w:cs="Times New Roman"/>
                <w:b/>
                <w:bCs/>
                <w:sz w:val="20"/>
                <w:szCs w:val="20"/>
                <w:lang w:eastAsia="en-US"/>
              </w:rPr>
            </w:pPr>
            <w:r>
              <w:rPr>
                <w:rFonts w:eastAsia="Calibri" w:cs="Times New Roman"/>
                <w:b/>
                <w:bCs/>
                <w:sz w:val="20"/>
                <w:szCs w:val="20"/>
                <w:lang w:eastAsia="en-US"/>
              </w:rPr>
              <w:t>6</w:t>
            </w:r>
          </w:p>
        </w:tc>
        <w:tc>
          <w:tcPr>
            <w:tcW w:w="5670" w:type="dxa"/>
          </w:tcPr>
          <w:p w14:paraId="24A862E1" w14:textId="77777777" w:rsidR="004D6C05" w:rsidRPr="004D6C05" w:rsidRDefault="004D6C05" w:rsidP="004D6C05">
            <w:pPr>
              <w:spacing w:before="0"/>
              <w:jc w:val="left"/>
              <w:rPr>
                <w:rFonts w:eastAsia="Calibri" w:cs="Times New Roman"/>
                <w:b/>
                <w:bCs/>
                <w:sz w:val="20"/>
                <w:szCs w:val="20"/>
                <w:lang w:eastAsia="en-US"/>
              </w:rPr>
            </w:pPr>
            <w:r w:rsidRPr="004D6C05">
              <w:rPr>
                <w:rFonts w:eastAsia="Calibri" w:cs="Times New Roman"/>
                <w:b/>
                <w:bCs/>
                <w:sz w:val="20"/>
                <w:szCs w:val="20"/>
                <w:lang w:eastAsia="en-US"/>
              </w:rPr>
              <w:t>Знания</w:t>
            </w:r>
          </w:p>
          <w:p w14:paraId="6AE60630" w14:textId="77777777" w:rsidR="004D6C05" w:rsidRPr="004D6C05" w:rsidRDefault="004D6C05" w:rsidP="004D6C05">
            <w:pPr>
              <w:pStyle w:val="ListParagraph"/>
              <w:numPr>
                <w:ilvl w:val="0"/>
                <w:numId w:val="43"/>
              </w:numPr>
              <w:tabs>
                <w:tab w:val="left" w:pos="171"/>
              </w:tabs>
              <w:spacing w:before="0"/>
              <w:ind w:left="0" w:firstLine="0"/>
              <w:jc w:val="left"/>
              <w:rPr>
                <w:rFonts w:eastAsia="Calibri" w:cs="Times New Roman"/>
                <w:sz w:val="20"/>
                <w:szCs w:val="20"/>
                <w:lang w:eastAsia="en-US"/>
              </w:rPr>
            </w:pPr>
            <w:r w:rsidRPr="004D6C05">
              <w:rPr>
                <w:rFonts w:eastAsia="Calibri" w:cs="Times New Roman"/>
                <w:sz w:val="20"/>
                <w:szCs w:val="20"/>
                <w:lang w:eastAsia="en-US"/>
              </w:rPr>
              <w:t>Притежава знания за технологичните възможности на съвременните производствени машини и съоръжения, средствата и технологиите на тримерното инженерно моделиране, виртуалното инженерство и инженерните процеси както и тяхното бързо интегриране с все по-широко използване на информационните технологии и методите и средствата за обработване на информационни потоци.</w:t>
            </w:r>
          </w:p>
          <w:p w14:paraId="15883EF9" w14:textId="77777777" w:rsidR="004D6C05" w:rsidRPr="004D6C05" w:rsidRDefault="004D6C05" w:rsidP="004D6C05">
            <w:pPr>
              <w:spacing w:before="0"/>
              <w:jc w:val="left"/>
              <w:rPr>
                <w:rFonts w:eastAsia="Calibri" w:cs="Times New Roman"/>
                <w:b/>
                <w:bCs/>
                <w:sz w:val="20"/>
                <w:szCs w:val="20"/>
                <w:lang w:eastAsia="en-US"/>
              </w:rPr>
            </w:pPr>
            <w:r w:rsidRPr="004D6C05">
              <w:rPr>
                <w:rFonts w:eastAsia="Calibri" w:cs="Times New Roman"/>
                <w:b/>
                <w:bCs/>
                <w:sz w:val="20"/>
                <w:szCs w:val="20"/>
                <w:lang w:eastAsia="en-US"/>
              </w:rPr>
              <w:t>Умения</w:t>
            </w:r>
          </w:p>
          <w:p w14:paraId="26E4A0B6" w14:textId="77777777" w:rsidR="004D6C05" w:rsidRPr="004D6C05" w:rsidRDefault="004D6C05" w:rsidP="004D6C05">
            <w:pPr>
              <w:tabs>
                <w:tab w:val="left" w:pos="171"/>
                <w:tab w:val="left" w:pos="454"/>
              </w:tabs>
              <w:spacing w:before="0"/>
              <w:jc w:val="left"/>
              <w:rPr>
                <w:rFonts w:eastAsia="Calibri" w:cs="Times New Roman"/>
                <w:sz w:val="20"/>
                <w:szCs w:val="20"/>
                <w:lang w:eastAsia="en-US"/>
              </w:rPr>
            </w:pPr>
            <w:r w:rsidRPr="004D6C05">
              <w:rPr>
                <w:rFonts w:eastAsia="Calibri" w:cs="Times New Roman"/>
                <w:b/>
                <w:bCs/>
                <w:sz w:val="20"/>
                <w:szCs w:val="20"/>
                <w:lang w:eastAsia="en-US"/>
              </w:rPr>
              <w:t>•</w:t>
            </w:r>
            <w:r w:rsidRPr="004D6C05">
              <w:rPr>
                <w:rFonts w:eastAsia="Calibri" w:cs="Times New Roman"/>
                <w:b/>
                <w:bCs/>
                <w:sz w:val="20"/>
                <w:szCs w:val="20"/>
                <w:lang w:eastAsia="en-US"/>
              </w:rPr>
              <w:tab/>
            </w:r>
            <w:r w:rsidRPr="004D6C05">
              <w:rPr>
                <w:rFonts w:eastAsia="Calibri" w:cs="Times New Roman"/>
                <w:sz w:val="20"/>
                <w:szCs w:val="20"/>
                <w:lang w:eastAsia="en-US"/>
              </w:rPr>
              <w:t xml:space="preserve">Подбира подходящи начини и средства за конструиране, симулиране, прототипиране, дизайн на процесите и управление на производството на  специалното въоръжение и техника чрез програмното осигуряване и дигиталните средства за управление на техниката и процесите и тяхната автоматизация и роботизация. </w:t>
            </w:r>
          </w:p>
          <w:p w14:paraId="2BF6402F" w14:textId="77777777" w:rsidR="004D6C05" w:rsidRPr="004D6C05" w:rsidRDefault="004D6C05" w:rsidP="004D6C05">
            <w:pPr>
              <w:tabs>
                <w:tab w:val="left" w:pos="171"/>
              </w:tabs>
              <w:spacing w:before="0"/>
              <w:jc w:val="left"/>
              <w:rPr>
                <w:rFonts w:eastAsia="Calibri" w:cs="Times New Roman"/>
                <w:sz w:val="20"/>
                <w:szCs w:val="20"/>
                <w:lang w:eastAsia="en-US"/>
              </w:rPr>
            </w:pPr>
            <w:r w:rsidRPr="004D6C05">
              <w:rPr>
                <w:rFonts w:eastAsia="Calibri" w:cs="Times New Roman"/>
                <w:sz w:val="20"/>
                <w:szCs w:val="20"/>
                <w:lang w:eastAsia="en-US"/>
              </w:rPr>
              <w:t>•</w:t>
            </w:r>
            <w:r w:rsidRPr="004D6C05">
              <w:rPr>
                <w:rFonts w:eastAsia="Calibri" w:cs="Times New Roman"/>
                <w:sz w:val="20"/>
                <w:szCs w:val="20"/>
                <w:lang w:eastAsia="en-US"/>
              </w:rPr>
              <w:tab/>
              <w:t>Използва програми за компютърно чертаене на 2Д и 3Д-пространствени елементи и обекти, като AutoCAD, SketchUp, FreeCAD, Rhino (50%) и Coreldraw (50%).</w:t>
            </w:r>
          </w:p>
          <w:p w14:paraId="21090B4A" w14:textId="77777777" w:rsidR="004D6C05" w:rsidRPr="004D6C05" w:rsidRDefault="004D6C05" w:rsidP="004D6C05">
            <w:pPr>
              <w:spacing w:before="0"/>
              <w:jc w:val="left"/>
              <w:rPr>
                <w:rFonts w:eastAsia="Calibri" w:cs="Times New Roman"/>
                <w:b/>
                <w:bCs/>
                <w:sz w:val="20"/>
                <w:szCs w:val="20"/>
                <w:lang w:eastAsia="en-US"/>
              </w:rPr>
            </w:pPr>
            <w:r w:rsidRPr="004D6C05">
              <w:rPr>
                <w:rFonts w:eastAsia="Calibri" w:cs="Times New Roman"/>
                <w:b/>
                <w:bCs/>
                <w:sz w:val="20"/>
                <w:szCs w:val="20"/>
                <w:lang w:eastAsia="en-US"/>
              </w:rPr>
              <w:t>Компетентност</w:t>
            </w:r>
          </w:p>
          <w:p w14:paraId="1114184C" w14:textId="7302E2E8" w:rsidR="00643B4C" w:rsidRPr="00643B4C" w:rsidRDefault="004D6C05" w:rsidP="004D6C05">
            <w:pPr>
              <w:spacing w:before="0" w:line="240" w:lineRule="auto"/>
              <w:rPr>
                <w:rFonts w:eastAsia="Calibri" w:cs="Times New Roman"/>
                <w:bCs/>
                <w:i/>
                <w:iCs/>
                <w:color w:val="0070C0"/>
                <w:sz w:val="20"/>
                <w:szCs w:val="20"/>
                <w:lang w:eastAsia="en-US"/>
              </w:rPr>
            </w:pPr>
            <w:r w:rsidRPr="004D6C05">
              <w:rPr>
                <w:rFonts w:eastAsia="Calibri" w:cs="Times New Roman"/>
                <w:sz w:val="20"/>
                <w:szCs w:val="20"/>
                <w:lang w:eastAsia="en-US"/>
              </w:rPr>
              <w:t>Притежава високо чувство за отговорност при използване на CAD/CAM/CAE и DAQ софтуерни системи, което дава възможност за бързо адаптиране на разработените инженерни продукти за  специалното въоръжение и техника към изискванията на съвременния пазар на труда</w:t>
            </w:r>
            <w:r w:rsidRPr="004D6C05">
              <w:rPr>
                <w:rFonts w:eastAsia="Calibri" w:cs="Times New Roman"/>
                <w:b/>
                <w:bCs/>
                <w:sz w:val="20"/>
                <w:szCs w:val="20"/>
                <w:lang w:eastAsia="en-US"/>
              </w:rPr>
              <w:t>.</w:t>
            </w:r>
          </w:p>
        </w:tc>
      </w:tr>
      <w:tr w:rsidR="004D6C05" w:rsidRPr="00643B4C" w14:paraId="0F2D102C" w14:textId="77777777" w:rsidTr="000607BF">
        <w:tc>
          <w:tcPr>
            <w:tcW w:w="9362" w:type="dxa"/>
            <w:gridSpan w:val="4"/>
            <w:shd w:val="clear" w:color="auto" w:fill="BDD6EE" w:themeFill="accent1" w:themeFillTint="66"/>
          </w:tcPr>
          <w:p w14:paraId="3AEF7375" w14:textId="69720F3F" w:rsidR="004D6C05" w:rsidRPr="005D2416" w:rsidRDefault="004D6C05" w:rsidP="004A54EC">
            <w:pPr>
              <w:spacing w:before="60" w:after="60"/>
              <w:jc w:val="left"/>
              <w:rPr>
                <w:rFonts w:eastAsia="Calibri" w:cs="Times New Roman"/>
                <w:b/>
                <w:caps/>
                <w:sz w:val="20"/>
                <w:szCs w:val="20"/>
                <w:lang w:eastAsia="en-US"/>
              </w:rPr>
            </w:pPr>
            <w:r w:rsidRPr="005D2416">
              <w:rPr>
                <w:rFonts w:eastAsia="Calibri" w:cs="Times New Roman"/>
                <w:b/>
                <w:caps/>
                <w:sz w:val="20"/>
                <w:szCs w:val="20"/>
                <w:lang w:eastAsia="en-US"/>
              </w:rPr>
              <w:t>МОДУЛ 2: Решаване на проблеми</w:t>
            </w:r>
          </w:p>
        </w:tc>
      </w:tr>
      <w:tr w:rsidR="00643B4C" w:rsidRPr="00643B4C" w14:paraId="44118EE9" w14:textId="77777777" w:rsidTr="000607BF">
        <w:trPr>
          <w:gridAfter w:val="1"/>
          <w:wAfter w:w="11" w:type="dxa"/>
        </w:trPr>
        <w:tc>
          <w:tcPr>
            <w:tcW w:w="2689" w:type="dxa"/>
          </w:tcPr>
          <w:p w14:paraId="2C7CF362" w14:textId="4A5EA1C1" w:rsidR="00643B4C" w:rsidRPr="004D6C05" w:rsidRDefault="00781410" w:rsidP="000607BF">
            <w:pPr>
              <w:pStyle w:val="ListParagraph"/>
              <w:numPr>
                <w:ilvl w:val="0"/>
                <w:numId w:val="44"/>
              </w:numPr>
              <w:tabs>
                <w:tab w:val="left" w:pos="169"/>
              </w:tabs>
              <w:spacing w:before="0" w:line="240" w:lineRule="auto"/>
              <w:ind w:left="0" w:firstLine="0"/>
              <w:rPr>
                <w:rFonts w:eastAsia="Calibri" w:cs="Times New Roman"/>
                <w:sz w:val="20"/>
                <w:szCs w:val="20"/>
                <w:lang w:eastAsia="en-US"/>
              </w:rPr>
            </w:pPr>
            <w:r w:rsidRPr="004D6C05">
              <w:rPr>
                <w:rFonts w:eastAsia="Calibri" w:cs="Times New Roman"/>
                <w:b/>
                <w:sz w:val="20"/>
                <w:szCs w:val="20"/>
                <w:lang w:eastAsia="en-US"/>
              </w:rPr>
              <w:t>ТЕМА</w:t>
            </w:r>
            <w:r w:rsidR="000607BF">
              <w:rPr>
                <w:rFonts w:eastAsia="Calibri" w:cs="Times New Roman"/>
                <w:b/>
                <w:sz w:val="20"/>
                <w:szCs w:val="20"/>
                <w:lang w:eastAsia="en-US"/>
              </w:rPr>
              <w:t xml:space="preserve"> </w:t>
            </w:r>
            <w:r w:rsidR="004D6C05" w:rsidRPr="004D6C05">
              <w:rPr>
                <w:rFonts w:eastAsia="Calibri" w:cs="Times New Roman"/>
                <w:b/>
                <w:sz w:val="20"/>
                <w:szCs w:val="20"/>
                <w:lang w:eastAsia="en-US"/>
              </w:rPr>
              <w:t>1</w:t>
            </w:r>
            <w:r w:rsidRPr="004D6C05">
              <w:rPr>
                <w:rFonts w:eastAsia="Calibri" w:cs="Times New Roman"/>
                <w:b/>
                <w:sz w:val="20"/>
                <w:szCs w:val="20"/>
                <w:lang w:eastAsia="en-US"/>
              </w:rPr>
              <w:t>.</w:t>
            </w:r>
            <w:r w:rsidR="004D6C05" w:rsidRPr="004D6C05">
              <w:rPr>
                <w:rFonts w:eastAsia="Calibri" w:cs="Times New Roman"/>
                <w:b/>
                <w:sz w:val="20"/>
                <w:szCs w:val="20"/>
                <w:lang w:eastAsia="en-US"/>
              </w:rPr>
              <w:t>Технологични решения за установяване и отстраняване на проблеми</w:t>
            </w:r>
            <w:r w:rsidR="000607BF">
              <w:rPr>
                <w:rFonts w:eastAsia="Calibri" w:cs="Times New Roman"/>
                <w:b/>
                <w:sz w:val="20"/>
                <w:szCs w:val="20"/>
                <w:lang w:eastAsia="en-US"/>
              </w:rPr>
              <w:t xml:space="preserve"> </w:t>
            </w:r>
            <w:r w:rsidR="004D6C05" w:rsidRPr="004D6C05">
              <w:rPr>
                <w:rFonts w:eastAsia="Calibri" w:cs="Times New Roman"/>
                <w:b/>
                <w:sz w:val="20"/>
                <w:szCs w:val="20"/>
                <w:lang w:eastAsia="en-US"/>
              </w:rPr>
              <w:t xml:space="preserve">при производството на  </w:t>
            </w:r>
            <w:r w:rsidR="004D6C05" w:rsidRPr="004D6C05">
              <w:rPr>
                <w:rFonts w:eastAsia="Calibri" w:cs="Times New Roman"/>
                <w:b/>
                <w:sz w:val="20"/>
                <w:szCs w:val="20"/>
                <w:lang w:eastAsia="en-US"/>
              </w:rPr>
              <w:lastRenderedPageBreak/>
              <w:t>специално въоръжение и техника</w:t>
            </w:r>
          </w:p>
        </w:tc>
        <w:tc>
          <w:tcPr>
            <w:tcW w:w="992" w:type="dxa"/>
          </w:tcPr>
          <w:p w14:paraId="5091B371" w14:textId="48029FD2" w:rsidR="00643B4C" w:rsidRPr="00643B4C" w:rsidRDefault="004D6C05" w:rsidP="00781410">
            <w:pPr>
              <w:spacing w:before="60" w:after="60"/>
              <w:jc w:val="center"/>
              <w:rPr>
                <w:rFonts w:eastAsia="Calibri" w:cs="Times New Roman"/>
                <w:sz w:val="20"/>
                <w:szCs w:val="20"/>
                <w:lang w:eastAsia="en-US"/>
              </w:rPr>
            </w:pPr>
            <w:r>
              <w:rPr>
                <w:rFonts w:eastAsia="Calibri" w:cs="Times New Roman"/>
                <w:sz w:val="20"/>
                <w:szCs w:val="20"/>
                <w:lang w:eastAsia="en-US"/>
              </w:rPr>
              <w:lastRenderedPageBreak/>
              <w:t>6</w:t>
            </w:r>
          </w:p>
        </w:tc>
        <w:tc>
          <w:tcPr>
            <w:tcW w:w="5670" w:type="dxa"/>
          </w:tcPr>
          <w:p w14:paraId="009DE2C7" w14:textId="77777777" w:rsidR="00643B4C" w:rsidRPr="00643B4C" w:rsidRDefault="00643B4C" w:rsidP="004A54EC">
            <w:pPr>
              <w:spacing w:before="60" w:after="60"/>
              <w:jc w:val="left"/>
              <w:rPr>
                <w:rFonts w:eastAsia="Calibri" w:cs="Times New Roman"/>
                <w:sz w:val="20"/>
                <w:szCs w:val="20"/>
                <w:lang w:eastAsia="en-US"/>
              </w:rPr>
            </w:pPr>
            <w:r w:rsidRPr="00643B4C">
              <w:rPr>
                <w:rFonts w:eastAsia="Calibri" w:cs="Times New Roman"/>
                <w:sz w:val="20"/>
                <w:szCs w:val="20"/>
                <w:lang w:eastAsia="en-US"/>
              </w:rPr>
              <w:t>….</w:t>
            </w:r>
          </w:p>
        </w:tc>
      </w:tr>
      <w:tr w:rsidR="00CB52A9" w:rsidRPr="00643B4C" w14:paraId="273A1A70" w14:textId="77777777" w:rsidTr="000607BF">
        <w:trPr>
          <w:gridAfter w:val="1"/>
          <w:wAfter w:w="11" w:type="dxa"/>
        </w:trPr>
        <w:tc>
          <w:tcPr>
            <w:tcW w:w="2689" w:type="dxa"/>
          </w:tcPr>
          <w:p w14:paraId="6FF8F434" w14:textId="7418817B" w:rsidR="00CB52A9" w:rsidRPr="00781410" w:rsidRDefault="00CB52A9" w:rsidP="004A54EC">
            <w:pPr>
              <w:spacing w:after="60"/>
              <w:jc w:val="left"/>
              <w:rPr>
                <w:rFonts w:eastAsia="Calibri" w:cs="Times New Roman"/>
                <w:b/>
                <w:bCs/>
                <w:sz w:val="20"/>
                <w:szCs w:val="20"/>
                <w:lang w:eastAsia="en-US"/>
              </w:rPr>
            </w:pPr>
            <w:r>
              <w:rPr>
                <w:rFonts w:eastAsia="Calibri" w:cs="Times New Roman"/>
                <w:b/>
                <w:bCs/>
                <w:sz w:val="20"/>
                <w:szCs w:val="20"/>
                <w:lang w:eastAsia="en-US"/>
              </w:rPr>
              <w:t>……..</w:t>
            </w:r>
          </w:p>
        </w:tc>
        <w:tc>
          <w:tcPr>
            <w:tcW w:w="992" w:type="dxa"/>
          </w:tcPr>
          <w:p w14:paraId="3CBD6008" w14:textId="35408D3E" w:rsidR="00CB52A9" w:rsidRPr="00643B4C" w:rsidRDefault="00CB52A9" w:rsidP="00CB52A9">
            <w:pPr>
              <w:spacing w:after="60"/>
              <w:jc w:val="center"/>
              <w:rPr>
                <w:rFonts w:eastAsia="Calibri" w:cs="Times New Roman"/>
                <w:sz w:val="20"/>
                <w:szCs w:val="20"/>
                <w:lang w:eastAsia="en-US"/>
              </w:rPr>
            </w:pPr>
            <w:r>
              <w:rPr>
                <w:rFonts w:eastAsia="Calibri" w:cs="Times New Roman"/>
                <w:sz w:val="20"/>
                <w:szCs w:val="20"/>
                <w:lang w:eastAsia="en-US"/>
              </w:rPr>
              <w:t>---</w:t>
            </w:r>
          </w:p>
        </w:tc>
        <w:tc>
          <w:tcPr>
            <w:tcW w:w="5670" w:type="dxa"/>
          </w:tcPr>
          <w:p w14:paraId="4819F789" w14:textId="22193862" w:rsidR="00CB52A9" w:rsidRPr="00643B4C" w:rsidRDefault="00CB52A9" w:rsidP="004A54EC">
            <w:pPr>
              <w:spacing w:after="60"/>
              <w:jc w:val="left"/>
              <w:rPr>
                <w:rFonts w:eastAsia="Calibri" w:cs="Times New Roman"/>
                <w:sz w:val="20"/>
                <w:szCs w:val="20"/>
                <w:lang w:eastAsia="en-US"/>
              </w:rPr>
            </w:pPr>
            <w:r>
              <w:rPr>
                <w:rFonts w:eastAsia="Calibri" w:cs="Times New Roman"/>
                <w:sz w:val="20"/>
                <w:szCs w:val="20"/>
                <w:lang w:eastAsia="en-US"/>
              </w:rPr>
              <w:t>….</w:t>
            </w:r>
          </w:p>
        </w:tc>
      </w:tr>
      <w:tr w:rsidR="00643B4C" w:rsidRPr="00643B4C" w14:paraId="31DAE0B9" w14:textId="77777777" w:rsidTr="000607BF">
        <w:trPr>
          <w:gridAfter w:val="1"/>
          <w:wAfter w:w="11" w:type="dxa"/>
        </w:trPr>
        <w:tc>
          <w:tcPr>
            <w:tcW w:w="2689" w:type="dxa"/>
          </w:tcPr>
          <w:p w14:paraId="70A45756" w14:textId="6F8B9E00" w:rsidR="00643B4C" w:rsidRPr="00781410" w:rsidRDefault="00781410" w:rsidP="004A54EC">
            <w:pPr>
              <w:spacing w:after="60"/>
              <w:jc w:val="left"/>
              <w:rPr>
                <w:rFonts w:eastAsia="Calibri" w:cs="Times New Roman"/>
                <w:b/>
                <w:bCs/>
                <w:sz w:val="20"/>
                <w:szCs w:val="20"/>
                <w:lang w:eastAsia="en-US"/>
              </w:rPr>
            </w:pPr>
            <w:r w:rsidRPr="00781410">
              <w:rPr>
                <w:rFonts w:eastAsia="Calibri" w:cs="Times New Roman"/>
                <w:b/>
                <w:bCs/>
                <w:sz w:val="20"/>
                <w:szCs w:val="20"/>
                <w:lang w:eastAsia="en-US"/>
              </w:rPr>
              <w:t>Нов модул/н</w:t>
            </w:r>
            <w:r w:rsidR="00643B4C" w:rsidRPr="00781410">
              <w:rPr>
                <w:rFonts w:eastAsia="Calibri" w:cs="Times New Roman"/>
                <w:b/>
                <w:bCs/>
                <w:sz w:val="20"/>
                <w:szCs w:val="20"/>
                <w:lang w:eastAsia="en-US"/>
              </w:rPr>
              <w:t>ова тема ….</w:t>
            </w:r>
          </w:p>
        </w:tc>
        <w:tc>
          <w:tcPr>
            <w:tcW w:w="992" w:type="dxa"/>
          </w:tcPr>
          <w:p w14:paraId="6BB7699D" w14:textId="77777777" w:rsidR="00643B4C" w:rsidRPr="00643B4C" w:rsidRDefault="00643B4C" w:rsidP="00CB52A9">
            <w:pPr>
              <w:spacing w:after="60"/>
              <w:jc w:val="center"/>
              <w:rPr>
                <w:rFonts w:eastAsia="Calibri" w:cs="Times New Roman"/>
                <w:sz w:val="20"/>
                <w:szCs w:val="20"/>
                <w:lang w:eastAsia="en-US"/>
              </w:rPr>
            </w:pPr>
            <w:r w:rsidRPr="00643B4C">
              <w:rPr>
                <w:rFonts w:eastAsia="Calibri" w:cs="Times New Roman"/>
                <w:sz w:val="20"/>
                <w:szCs w:val="20"/>
                <w:lang w:eastAsia="en-US"/>
              </w:rPr>
              <w:t>….</w:t>
            </w:r>
          </w:p>
        </w:tc>
        <w:tc>
          <w:tcPr>
            <w:tcW w:w="5670" w:type="dxa"/>
          </w:tcPr>
          <w:p w14:paraId="765B911C" w14:textId="77777777" w:rsidR="00643B4C" w:rsidRPr="00643B4C" w:rsidRDefault="00643B4C" w:rsidP="004A54EC">
            <w:pPr>
              <w:spacing w:after="60"/>
              <w:jc w:val="left"/>
              <w:rPr>
                <w:rFonts w:eastAsia="Calibri" w:cs="Times New Roman"/>
                <w:sz w:val="20"/>
                <w:szCs w:val="20"/>
                <w:lang w:eastAsia="en-US"/>
              </w:rPr>
            </w:pPr>
            <w:r w:rsidRPr="00643B4C">
              <w:rPr>
                <w:rFonts w:eastAsia="Calibri" w:cs="Times New Roman"/>
                <w:sz w:val="20"/>
                <w:szCs w:val="20"/>
                <w:lang w:eastAsia="en-US"/>
              </w:rPr>
              <w:t>….</w:t>
            </w:r>
          </w:p>
        </w:tc>
      </w:tr>
    </w:tbl>
    <w:p w14:paraId="34EBF54B" w14:textId="77777777" w:rsidR="00643B4C" w:rsidRPr="00643B4C" w:rsidRDefault="00643B4C" w:rsidP="00643B4C">
      <w:pPr>
        <w:spacing w:after="160" w:line="259" w:lineRule="auto"/>
        <w:jc w:val="left"/>
        <w:rPr>
          <w:rFonts w:eastAsia="Calibri" w:cs="Times New Roman"/>
          <w:sz w:val="22"/>
          <w:szCs w:val="22"/>
          <w:lang w:eastAsia="en-US"/>
        </w:rPr>
      </w:pPr>
      <w:r w:rsidRPr="00643B4C">
        <w:rPr>
          <w:rFonts w:eastAsia="Calibri" w:cs="Times New Roman"/>
          <w:b/>
          <w:bCs/>
          <w:u w:val="single"/>
          <w:lang w:eastAsia="en-US"/>
        </w:rPr>
        <w:t>Фигура 3.</w:t>
      </w:r>
      <w:r w:rsidRPr="00643B4C">
        <w:rPr>
          <w:rFonts w:eastAsia="Calibri" w:cs="Times New Roman"/>
          <w:b/>
          <w:lang w:eastAsia="en-US"/>
        </w:rPr>
        <w:t xml:space="preserve"> </w:t>
      </w:r>
      <w:r w:rsidRPr="00643B4C">
        <w:rPr>
          <w:rFonts w:eastAsia="Calibri" w:cs="Times New Roman"/>
          <w:b/>
          <w:bCs/>
          <w:lang w:eastAsia="en-US"/>
        </w:rPr>
        <w:t>Пример за учебно съдържание</w:t>
      </w:r>
    </w:p>
    <w:p w14:paraId="62A3F3D4" w14:textId="0A5AD8B8" w:rsidR="00B31D94" w:rsidRPr="000778FC" w:rsidRDefault="00B31D94" w:rsidP="000778FC">
      <w:pPr>
        <w:pStyle w:val="ListParagraph"/>
        <w:numPr>
          <w:ilvl w:val="0"/>
          <w:numId w:val="38"/>
        </w:numPr>
        <w:shd w:val="clear" w:color="auto" w:fill="FFFFFF"/>
        <w:tabs>
          <w:tab w:val="left" w:pos="567"/>
          <w:tab w:val="left" w:pos="993"/>
        </w:tabs>
        <w:ind w:left="426" w:hanging="426"/>
        <w:rPr>
          <w:b/>
          <w:bCs/>
        </w:rPr>
      </w:pPr>
      <w:r w:rsidRPr="000778FC">
        <w:rPr>
          <w:b/>
          <w:bCs/>
        </w:rPr>
        <w:t>Разработване на учебно съдържание за нова ключова професия</w:t>
      </w:r>
    </w:p>
    <w:p w14:paraId="7410BBBE" w14:textId="613DB202" w:rsidR="00B31D94"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29" w:name="_Hlk128491640"/>
      <w:r w:rsidRPr="0078385B">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9"/>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16E2D404" w14:textId="77777777" w:rsidR="00E45DCC" w:rsidRPr="00776C3B" w:rsidRDefault="00E45DCC" w:rsidP="00B31D94">
      <w:pPr>
        <w:pStyle w:val="ListParagraph"/>
        <w:spacing w:after="240"/>
        <w:ind w:left="357"/>
      </w:pPr>
    </w:p>
    <w:p w14:paraId="0EBC1398" w14:textId="77777777" w:rsidR="005213B2" w:rsidRPr="00A355E3" w:rsidRDefault="005213B2" w:rsidP="00423BA9">
      <w:pPr>
        <w:pStyle w:val="Heading2"/>
      </w:pPr>
      <w:bookmarkStart w:id="30" w:name="_Hlk128156706"/>
      <w:bookmarkStart w:id="31" w:name="_Toc131769832"/>
      <w:r w:rsidRPr="00A355E3">
        <w:t>Адаптиране на секторната квалификационна рамка</w:t>
      </w:r>
      <w:bookmarkEnd w:id="31"/>
      <w:r w:rsidRPr="00A355E3">
        <w:t xml:space="preserve"> </w:t>
      </w:r>
    </w:p>
    <w:bookmarkEnd w:id="30"/>
    <w:p w14:paraId="33150F7F" w14:textId="004004F9"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643B4C" w:rsidRPr="00643B4C">
        <w:rPr>
          <w:rFonts w:cstheme="minorHAnsi"/>
          <w:b/>
          <w:bCs/>
        </w:rPr>
        <w:t xml:space="preserve"> </w:t>
      </w:r>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C5911" w:rsidRPr="00643B4C">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0038CF9B"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w:t>
      </w:r>
      <w:bookmarkStart w:id="32" w:name="_Hlk129009124"/>
      <w:r w:rsidRPr="00291A01">
        <w:t>дейност</w:t>
      </w:r>
      <w:r w:rsidR="00EF143B">
        <w:t>/сектор</w:t>
      </w:r>
      <w:r w:rsidR="00DB4445">
        <w:t xml:space="preserve"> </w:t>
      </w:r>
      <w:bookmarkEnd w:id="32"/>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36B5B">
        <w:t>.</w:t>
      </w:r>
      <w:r w:rsidRPr="00291A01">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w:t>
      </w:r>
      <w:r w:rsidRPr="00291A01">
        <w:lastRenderedPageBreak/>
        <w:t xml:space="preserve">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33" w:name="_Hlk128420804"/>
      <w:bookmarkStart w:id="34" w:name="_Toc131769833"/>
      <w:r w:rsidRPr="00423BA9">
        <w:t>Инструментариум за прогнозиране на специфичните дигитални умения</w:t>
      </w:r>
      <w:bookmarkEnd w:id="34"/>
    </w:p>
    <w:bookmarkEnd w:id="33"/>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lastRenderedPageBreak/>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5BD6450D" w:rsidR="00455E3A" w:rsidRPr="00291A01" w:rsidRDefault="00455E3A" w:rsidP="00F3149E">
      <w:pPr>
        <w:shd w:val="clear" w:color="auto" w:fill="FFFFFF"/>
        <w:spacing w:after="160"/>
        <w:contextualSpacing/>
        <w:textAlignment w:val="baseline"/>
      </w:pPr>
      <w:r w:rsidRPr="00291A01">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w:t>
      </w:r>
      <w:r w:rsidR="00EF143B" w:rsidRPr="00291A01">
        <w:t>дейност</w:t>
      </w:r>
      <w:r w:rsidR="00EF143B">
        <w:t xml:space="preserve">/сектор </w:t>
      </w:r>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36B5B" w:rsidRPr="00CD2D8A">
        <w:t xml:space="preserve">, </w:t>
      </w:r>
      <w:r w:rsidR="00EF143B" w:rsidRPr="00291A01">
        <w:t xml:space="preserve"> </w:t>
      </w:r>
      <w:r w:rsidRPr="00291A01">
        <w:t>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C4F63E1" w14:textId="6805949D" w:rsidR="00EF143B" w:rsidRDefault="00F3149E" w:rsidP="006B45A2">
      <w:pPr>
        <w:pStyle w:val="ListParagraph"/>
        <w:numPr>
          <w:ilvl w:val="0"/>
          <w:numId w:val="18"/>
        </w:numPr>
        <w:autoSpaceDE w:val="0"/>
        <w:autoSpaceDN w:val="0"/>
        <w:adjustRightInd w:val="0"/>
        <w:spacing w:before="0" w:after="120" w:line="240" w:lineRule="auto"/>
        <w:rPr>
          <w:rFonts w:cstheme="minorHAnsi"/>
          <w:bCs/>
        </w:rPr>
      </w:pPr>
      <w:r w:rsidRPr="00EF143B">
        <w:rPr>
          <w:rFonts w:cstheme="minorHAnsi"/>
          <w:bCs/>
        </w:rPr>
        <w:t xml:space="preserve">познаване пазара на труда, длъжностите/професиите и дигиталните умения/ компетентности, изисквани в икономическа </w:t>
      </w:r>
      <w:r w:rsidR="00EF143B" w:rsidRPr="00291A01">
        <w:t>дейност</w:t>
      </w:r>
      <w:r w:rsidR="00EF143B">
        <w:t xml:space="preserve">/дектор </w:t>
      </w:r>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EF143B">
        <w:rPr>
          <w:rFonts w:cstheme="minorHAnsi"/>
          <w:bCs/>
        </w:rPr>
        <w:t>;</w:t>
      </w:r>
    </w:p>
    <w:p w14:paraId="6AF1F4DD" w14:textId="3DAEF73B" w:rsidR="00F3149E" w:rsidRPr="00EF143B" w:rsidRDefault="00F3149E" w:rsidP="006B45A2">
      <w:pPr>
        <w:pStyle w:val="ListParagraph"/>
        <w:numPr>
          <w:ilvl w:val="0"/>
          <w:numId w:val="18"/>
        </w:numPr>
        <w:autoSpaceDE w:val="0"/>
        <w:autoSpaceDN w:val="0"/>
        <w:adjustRightInd w:val="0"/>
        <w:spacing w:before="0" w:after="120" w:line="240" w:lineRule="auto"/>
        <w:rPr>
          <w:rFonts w:cstheme="minorHAnsi"/>
          <w:bCs/>
        </w:rPr>
      </w:pPr>
      <w:r w:rsidRPr="00EF143B">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35" w:name="_Toc131769834"/>
      <w:r>
        <w:rPr>
          <w:rFonts w:eastAsia="Times New Roman"/>
        </w:rPr>
        <w:lastRenderedPageBreak/>
        <w:t xml:space="preserve">Процедура за приемане и актуализиране на </w:t>
      </w:r>
      <w:r>
        <w:rPr>
          <w:rFonts w:eastAsia="Calibri"/>
        </w:rPr>
        <w:t>Методическото указание</w:t>
      </w:r>
      <w:bookmarkEnd w:id="35"/>
    </w:p>
    <w:p w14:paraId="7420516D" w14:textId="5A9AF52A"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 xml:space="preserve">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w:t>
      </w:r>
      <w:r w:rsidR="00EF143B" w:rsidRPr="00291A01">
        <w:t>дейност</w:t>
      </w:r>
      <w:r w:rsidR="00EF143B">
        <w:t xml:space="preserve">/сектор </w:t>
      </w:r>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736B5B">
        <w:t xml:space="preserve"> </w:t>
      </w:r>
      <w:r w:rsidRPr="000B07C2">
        <w:rPr>
          <w:rFonts w:cstheme="minorHAnsi"/>
        </w:rPr>
        <w:t>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357946C7" w:rsidR="000B07C2" w:rsidRDefault="000B07C2" w:rsidP="000B07C2">
      <w:pPr>
        <w:autoSpaceDE w:val="0"/>
        <w:autoSpaceDN w:val="0"/>
        <w:adjustRightInd w:val="0"/>
        <w:spacing w:before="120" w:after="120" w:line="240" w:lineRule="auto"/>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EF143B">
        <w:rPr>
          <w:rFonts w:cstheme="minorHAnsi"/>
          <w:b/>
        </w:rPr>
        <w:t xml:space="preserve"> </w:t>
      </w:r>
      <w:bookmarkStart w:id="36" w:name="_Hlk131708650"/>
      <w:r w:rsidR="00736B5B" w:rsidRPr="00466878">
        <w:rPr>
          <w:b/>
          <w:bCs/>
        </w:rPr>
        <w:t>С32.9 Производство, неквалифицирано</w:t>
      </w:r>
      <w:r w:rsidR="00736B5B">
        <w:rPr>
          <w:b/>
          <w:bCs/>
        </w:rPr>
        <w:t xml:space="preserve"> </w:t>
      </w:r>
      <w:r w:rsidR="00736B5B" w:rsidRPr="00466878">
        <w:rPr>
          <w:b/>
          <w:bCs/>
        </w:rPr>
        <w:t>другаде/разнообразни производства, неквалифицирани другаде</w:t>
      </w:r>
      <w:r w:rsidR="005057E1">
        <w:t xml:space="preserve"> </w:t>
      </w:r>
      <w:bookmarkEnd w:id="36"/>
      <w:r w:rsidRPr="000B07C2">
        <w:rPr>
          <w:rFonts w:cstheme="minorHAnsi"/>
        </w:rPr>
        <w:t xml:space="preserve">се актуализира  и прилага на 1, 3 или 5 години. </w:t>
      </w:r>
    </w:p>
    <w:p w14:paraId="089D1591" w14:textId="77777777" w:rsidR="00DD6B3F" w:rsidRPr="000B07C2" w:rsidRDefault="00DD6B3F" w:rsidP="000B07C2">
      <w:pPr>
        <w:autoSpaceDE w:val="0"/>
        <w:autoSpaceDN w:val="0"/>
        <w:adjustRightInd w:val="0"/>
        <w:spacing w:before="120" w:after="120" w:line="240" w:lineRule="auto"/>
        <w:rPr>
          <w:rFonts w:cstheme="minorHAnsi"/>
        </w:rPr>
      </w:pPr>
    </w:p>
    <w:p w14:paraId="1D45BB5D" w14:textId="7A45F94A" w:rsidR="003F6F1D" w:rsidRPr="00DA0199" w:rsidRDefault="003F6F1D" w:rsidP="00993C47">
      <w:pPr>
        <w:pStyle w:val="Heading1"/>
      </w:pPr>
      <w:bookmarkStart w:id="37" w:name="_Toc131769835"/>
      <w:r w:rsidRPr="00DA0199">
        <w:t>ПРИЛОЖЕНИЯ:</w:t>
      </w:r>
      <w:bookmarkEnd w:id="37"/>
    </w:p>
    <w:p w14:paraId="65ABE525" w14:textId="77777777" w:rsidR="001E7D72" w:rsidRDefault="00200110" w:rsidP="001E7D72">
      <w:pPr>
        <w:spacing w:line="360" w:lineRule="auto"/>
        <w:ind w:right="426"/>
        <w:rPr>
          <w:rStyle w:val="Hyperlink"/>
        </w:rPr>
      </w:pPr>
      <w:r w:rsidRPr="008F13BD">
        <w:rPr>
          <w:b/>
          <w:bCs/>
        </w:rPr>
        <w:t xml:space="preserve">Приложение </w:t>
      </w:r>
      <w:r w:rsidR="00435CF4" w:rsidRPr="008F13BD">
        <w:rPr>
          <w:b/>
          <w:bCs/>
        </w:rPr>
        <w:t>1</w:t>
      </w:r>
      <w:r w:rsidRPr="008F13BD">
        <w:rPr>
          <w:b/>
          <w:bCs/>
        </w:rPr>
        <w:t>:</w:t>
      </w:r>
      <w:r w:rsidRPr="008F13BD">
        <w:t xml:space="preserve"> </w:t>
      </w:r>
      <w:bookmarkStart w:id="38" w:name="_Hlk128427325"/>
      <w:r w:rsidRPr="008F13BD">
        <w:t>Проучване и анализ на потребностите от дигитални умения</w:t>
      </w:r>
      <w:bookmarkEnd w:id="38"/>
      <w:r w:rsidRPr="008F13BD">
        <w:t xml:space="preserve">, </w:t>
      </w:r>
      <w:hyperlink r:id="rId11" w:history="1">
        <w:r w:rsidR="001E7D72" w:rsidRPr="00914C7C">
          <w:rPr>
            <w:rStyle w:val="Hyperlink"/>
          </w:rPr>
          <w:t>https://www.bcci.bg/bulgarian/projects/BeDigital/analysisBeDigital.html</w:t>
        </w:r>
      </w:hyperlink>
    </w:p>
    <w:p w14:paraId="6B7610D7" w14:textId="01F4E659" w:rsidR="00776EC3" w:rsidRDefault="00810D40" w:rsidP="001E7D72">
      <w:pPr>
        <w:spacing w:line="360" w:lineRule="auto"/>
        <w:ind w:right="426"/>
        <w:jc w:val="left"/>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 xml:space="preserve">за икономическа </w:t>
      </w:r>
      <w:r w:rsidR="00DA0199" w:rsidRPr="009257E0">
        <w:rPr>
          <w:rFonts w:asciiTheme="minorHAnsi" w:eastAsiaTheme="minorHAnsi" w:hAnsiTheme="minorHAnsi" w:cstheme="minorHAnsi"/>
          <w:szCs w:val="22"/>
          <w:shd w:val="clear" w:color="auto" w:fill="FFFFFF"/>
        </w:rPr>
        <w:t>дейност</w:t>
      </w:r>
      <w:r w:rsidR="003B71A4">
        <w:rPr>
          <w:rFonts w:asciiTheme="minorHAnsi" w:eastAsiaTheme="minorHAnsi" w:hAnsiTheme="minorHAnsi" w:cstheme="minorHAnsi"/>
          <w:szCs w:val="22"/>
          <w:shd w:val="clear" w:color="auto" w:fill="FFFFFF"/>
        </w:rPr>
        <w:t>/</w:t>
      </w:r>
      <w:r w:rsidR="003B71A4" w:rsidRPr="00663C7E">
        <w:rPr>
          <w:rFonts w:asciiTheme="minorHAnsi" w:eastAsiaTheme="minorHAnsi" w:hAnsiTheme="minorHAnsi" w:cstheme="minorHAnsi"/>
          <w:szCs w:val="22"/>
          <w:shd w:val="clear" w:color="auto" w:fill="FFFFFF"/>
        </w:rPr>
        <w:t>сектор</w:t>
      </w:r>
      <w:r w:rsidR="00DA0199" w:rsidRPr="00663C7E">
        <w:rPr>
          <w:rFonts w:asciiTheme="minorHAnsi" w:eastAsiaTheme="minorHAnsi" w:hAnsiTheme="minorHAnsi" w:cstheme="minorHAnsi"/>
          <w:sz w:val="28"/>
          <w:szCs w:val="28"/>
          <w:lang w:eastAsia="en-US"/>
        </w:rPr>
        <w:t xml:space="preserve"> </w:t>
      </w:r>
      <w:bookmarkStart w:id="39" w:name="_Hlk129019698"/>
      <w:r w:rsidR="001E7D72" w:rsidRPr="00466878">
        <w:rPr>
          <w:b/>
          <w:bCs/>
        </w:rPr>
        <w:t>С32.9 Производство, неквалифицирано</w:t>
      </w:r>
      <w:r w:rsidR="001E7D72">
        <w:rPr>
          <w:b/>
          <w:bCs/>
        </w:rPr>
        <w:t xml:space="preserve"> </w:t>
      </w:r>
      <w:r w:rsidR="001E7D72" w:rsidRPr="00466878">
        <w:rPr>
          <w:b/>
          <w:bCs/>
        </w:rPr>
        <w:t>другаде/разнообразни производства, неквалифицирани другаде</w:t>
      </w:r>
      <w:r w:rsidR="00993C47">
        <w:t xml:space="preserve">, </w:t>
      </w:r>
      <w:hyperlink r:id="rId12" w:history="1">
        <w:r w:rsidR="00993C47" w:rsidRPr="00914C7C">
          <w:rPr>
            <w:rStyle w:val="Hyperlink"/>
          </w:rPr>
          <w:t>https://www.bcci.bg/bulgarian/projects/BeDigital/analysisBeDigital.html</w:t>
        </w:r>
      </w:hyperlink>
    </w:p>
    <w:bookmarkEnd w:id="39"/>
    <w:p w14:paraId="24FE6189" w14:textId="1604E389" w:rsidR="001E7D72" w:rsidRDefault="00435CF4" w:rsidP="001E7D72">
      <w:pPr>
        <w:spacing w:line="360" w:lineRule="auto"/>
        <w:ind w:right="426"/>
        <w:jc w:val="left"/>
        <w:rPr>
          <w:rStyle w:val="Hyperlink"/>
        </w:rPr>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1E7D72">
        <w:t xml:space="preserve"> </w:t>
      </w:r>
      <w:r w:rsidR="001E7D72" w:rsidRPr="00466878">
        <w:rPr>
          <w:b/>
          <w:bCs/>
        </w:rPr>
        <w:t>С32.9 Производство, неквалифицирано</w:t>
      </w:r>
      <w:r w:rsidR="001E7D72">
        <w:rPr>
          <w:b/>
          <w:bCs/>
        </w:rPr>
        <w:t xml:space="preserve"> </w:t>
      </w:r>
      <w:r w:rsidR="001E7D72" w:rsidRPr="00466878">
        <w:rPr>
          <w:b/>
          <w:bCs/>
        </w:rPr>
        <w:t>другаде/разнообразни производства, неквалифицирани другаде</w:t>
      </w:r>
      <w:r w:rsidR="0078385B" w:rsidRPr="008F13BD">
        <w:t xml:space="preserve"> </w:t>
      </w:r>
      <w:bookmarkStart w:id="40" w:name="_Hlk128491654"/>
      <w:r w:rsidR="001E7D72">
        <w:fldChar w:fldCharType="begin"/>
      </w:r>
      <w:r w:rsidR="001E7D72">
        <w:instrText>HYPERLINK "https://www.bcci.bg/bulgarian/projects/BeDigital/analysisBeDigital.html"</w:instrText>
      </w:r>
      <w:r w:rsidR="001E7D72">
        <w:fldChar w:fldCharType="separate"/>
      </w:r>
      <w:r w:rsidR="001E7D72" w:rsidRPr="00914C7C">
        <w:rPr>
          <w:rStyle w:val="Hyperlink"/>
        </w:rPr>
        <w:t>https://www.bcci.bg/bulgarian/projects/BeDigital/analysisBeDigital.html</w:t>
      </w:r>
      <w:r w:rsidR="001E7D72">
        <w:rPr>
          <w:rStyle w:val="Hyperlink"/>
        </w:rPr>
        <w:fldChar w:fldCharType="end"/>
      </w:r>
    </w:p>
    <w:p w14:paraId="0F245953" w14:textId="1D516C36" w:rsidR="00993C47" w:rsidRDefault="003F6F1D" w:rsidP="001E7D72">
      <w:pPr>
        <w:spacing w:line="360" w:lineRule="auto"/>
        <w:ind w:right="426"/>
        <w:jc w:val="left"/>
      </w:pPr>
      <w:r w:rsidRPr="00291A01">
        <w:rPr>
          <w:b/>
          <w:bCs/>
        </w:rPr>
        <w:lastRenderedPageBreak/>
        <w:t>Приложение</w:t>
      </w:r>
      <w:r w:rsidR="00776EC3" w:rsidRPr="00291A01">
        <w:rPr>
          <w:b/>
          <w:bCs/>
        </w:rPr>
        <w:t xml:space="preserve"> </w:t>
      </w:r>
      <w:r w:rsidR="003C5381">
        <w:rPr>
          <w:b/>
          <w:bCs/>
        </w:rPr>
        <w:t>4</w:t>
      </w:r>
      <w:r w:rsidRPr="00291A01">
        <w:rPr>
          <w:b/>
          <w:bCs/>
        </w:rPr>
        <w:t>:</w:t>
      </w:r>
      <w:r w:rsidRPr="00291A01">
        <w:t xml:space="preserve"> </w:t>
      </w:r>
      <w:bookmarkEnd w:id="40"/>
      <w:r w:rsidRPr="00291A01">
        <w:t xml:space="preserve">Програми за неформално обучение по професии/длъжности за икономическа дейност/сектор </w:t>
      </w:r>
      <w:r w:rsidR="001E7D72" w:rsidRPr="00466878">
        <w:rPr>
          <w:b/>
          <w:bCs/>
        </w:rPr>
        <w:t>С32.9 Производство, неквалифицирано</w:t>
      </w:r>
      <w:r w:rsidR="001E7D72">
        <w:rPr>
          <w:b/>
          <w:bCs/>
        </w:rPr>
        <w:t xml:space="preserve"> </w:t>
      </w:r>
      <w:r w:rsidR="001E7D72" w:rsidRPr="00466878">
        <w:rPr>
          <w:b/>
          <w:bCs/>
        </w:rPr>
        <w:t>другаде/разнообразни производства, неквалифицирани другаде</w:t>
      </w:r>
      <w:r w:rsidR="001E7D72">
        <w:t xml:space="preserve"> </w:t>
      </w:r>
      <w:hyperlink r:id="rId13" w:history="1">
        <w:r w:rsidR="00993C47" w:rsidRPr="001A099F">
          <w:rPr>
            <w:rStyle w:val="Hyperlink"/>
          </w:rPr>
          <w:t>https://www.bcci.bg/bulgarian/projects/BeDigital/analysisBeDigital.html</w:t>
        </w:r>
      </w:hyperlink>
    </w:p>
    <w:p w14:paraId="2A9B7E27" w14:textId="51110810" w:rsidR="00E219CC" w:rsidRPr="00291A01" w:rsidRDefault="00993C47" w:rsidP="003F6F1D">
      <w:pPr>
        <w:spacing w:line="360" w:lineRule="auto"/>
        <w:ind w:right="426"/>
      </w:pPr>
      <w:r>
        <w:t xml:space="preserve"> </w:t>
      </w:r>
      <w:r w:rsidR="00E219CC" w:rsidRPr="00291A01">
        <w:rPr>
          <w:b/>
          <w:bCs/>
        </w:rPr>
        <w:t xml:space="preserve">Приложение </w:t>
      </w:r>
      <w:r w:rsidR="003C5381">
        <w:rPr>
          <w:b/>
          <w:bCs/>
        </w:rPr>
        <w:t>5</w:t>
      </w:r>
      <w:r w:rsidR="00E219CC" w:rsidRPr="00291A01">
        <w:rPr>
          <w:b/>
          <w:bCs/>
        </w:rPr>
        <w:t>:</w:t>
      </w:r>
      <w:r w:rsidR="00E219CC" w:rsidRPr="00291A01">
        <w:t xml:space="preserve"> </w:t>
      </w:r>
      <w:r w:rsidR="00E219CC"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p>
    <w:p w14:paraId="2DDE9C2A" w14:textId="74835F82" w:rsidR="00993C47" w:rsidRDefault="003F6F1D" w:rsidP="006E2E6A">
      <w:pPr>
        <w:spacing w:line="360" w:lineRule="auto"/>
        <w:ind w:right="426"/>
        <w:jc w:val="left"/>
      </w:pPr>
      <w:bookmarkStart w:id="41" w:name="_Hlk128492663"/>
      <w:r w:rsidRPr="00291A01">
        <w:rPr>
          <w:b/>
          <w:bCs/>
        </w:rPr>
        <w:t xml:space="preserve">Приложение </w:t>
      </w:r>
      <w:r w:rsidR="003C5381">
        <w:rPr>
          <w:b/>
          <w:bCs/>
        </w:rPr>
        <w:t>6</w:t>
      </w:r>
      <w:r w:rsidRPr="00291A01">
        <w:rPr>
          <w:b/>
          <w:bCs/>
        </w:rPr>
        <w:t>:</w:t>
      </w:r>
      <w:r w:rsidRPr="00291A01">
        <w:t xml:space="preserve"> </w:t>
      </w:r>
      <w:bookmarkEnd w:id="41"/>
      <w:r w:rsidRPr="00291A01">
        <w:t xml:space="preserve">Секторна квалификационна рамка </w:t>
      </w:r>
      <w:r w:rsidR="00AE2310">
        <w:t xml:space="preserve">за </w:t>
      </w:r>
      <w:r w:rsidRPr="00291A01">
        <w:t xml:space="preserve">икономическа дейност/сектор </w:t>
      </w:r>
      <w:bookmarkStart w:id="42" w:name="_Hlk128501758"/>
      <w:r w:rsidR="001E7D72" w:rsidRPr="00466878">
        <w:rPr>
          <w:b/>
          <w:bCs/>
        </w:rPr>
        <w:t>С32.9 Производство, неквалифицирано</w:t>
      </w:r>
      <w:r w:rsidR="001E7D72">
        <w:rPr>
          <w:b/>
          <w:bCs/>
        </w:rPr>
        <w:t xml:space="preserve"> </w:t>
      </w:r>
      <w:r w:rsidR="001E7D72" w:rsidRPr="00466878">
        <w:rPr>
          <w:b/>
          <w:bCs/>
        </w:rPr>
        <w:t>другаде/разнообразни производства, неквалифицирани другаде</w:t>
      </w:r>
      <w:r w:rsidR="00993C47">
        <w:t>,</w:t>
      </w:r>
      <w:r w:rsidR="00993C47" w:rsidRPr="00993C47">
        <w:t xml:space="preserve"> </w:t>
      </w:r>
      <w:hyperlink r:id="rId14" w:history="1">
        <w:r w:rsidR="00993C47" w:rsidRPr="001A099F">
          <w:rPr>
            <w:rStyle w:val="Hyperlink"/>
          </w:rPr>
          <w:t>https://www.bcci.bg/bulgarian/projects/BeDigital/analysisBeDigital.html</w:t>
        </w:r>
      </w:hyperlink>
    </w:p>
    <w:p w14:paraId="2A682B7D" w14:textId="1A030B66" w:rsidR="00F9487B" w:rsidRDefault="00993C47" w:rsidP="00663C7E">
      <w:pPr>
        <w:spacing w:line="360" w:lineRule="auto"/>
        <w:ind w:right="426"/>
      </w:pPr>
      <w:r>
        <w:t xml:space="preserve"> </w:t>
      </w:r>
      <w:r w:rsidR="00F9487B" w:rsidRPr="00F9487B">
        <w:rPr>
          <w:b/>
          <w:bCs/>
        </w:rPr>
        <w:t xml:space="preserve">Приложение </w:t>
      </w:r>
      <w:r w:rsidR="003C5381">
        <w:rPr>
          <w:b/>
          <w:bCs/>
        </w:rPr>
        <w:t>7</w:t>
      </w:r>
      <w:r w:rsidR="00F9487B" w:rsidRPr="00F9487B">
        <w:rPr>
          <w:b/>
          <w:bCs/>
        </w:rPr>
        <w:t>:</w:t>
      </w:r>
      <w:r w:rsidR="00F9487B" w:rsidRPr="00F9487B">
        <w:t xml:space="preserve"> </w:t>
      </w:r>
      <w:r w:rsidR="00F9487B" w:rsidRPr="00291A01">
        <w:t>Методология за установяване състоянието и потребностите от развитие на дигитални умения по икономически сектори</w:t>
      </w:r>
      <w:r w:rsidR="00F9487B">
        <w:t xml:space="preserve">, </w:t>
      </w:r>
      <w:bookmarkEnd w:id="42"/>
      <w:r w:rsidR="00F9487B">
        <w:fldChar w:fldCharType="begin"/>
      </w:r>
      <w:r w:rsidR="00F9487B">
        <w:instrText>HYPERLINK "https://mlsp.government.bg/proekt-bg05m9op001-1127-0001-razvitie-na-digitalnite-umeniya-komponent-1"</w:instrText>
      </w:r>
      <w:r w:rsidR="00F9487B">
        <w:fldChar w:fldCharType="separate"/>
      </w:r>
      <w:r w:rsidR="00F9487B" w:rsidRPr="005074C7">
        <w:rPr>
          <w:rStyle w:val="Hyperlink"/>
        </w:rPr>
        <w:t>https://mlsp.government.bg/proekt-bg05m9op001-1127-0001-razvitie-na-digitalnite-umeniya-komponent-1</w:t>
      </w:r>
      <w:r w:rsidR="00F9487B">
        <w:rPr>
          <w:rStyle w:val="Hyperlink"/>
        </w:rPr>
        <w:fldChar w:fldCharType="end"/>
      </w:r>
    </w:p>
    <w:p w14:paraId="65545EDA" w14:textId="7BDE46EF" w:rsidR="00F9487B" w:rsidRDefault="00F9487B" w:rsidP="00F9487B">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43"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44C391CD" w14:textId="4121C142" w:rsidR="006A7824" w:rsidRPr="00291A01" w:rsidRDefault="00DA0199" w:rsidP="00993C47">
      <w:pPr>
        <w:spacing w:after="120"/>
        <w:ind w:right="425"/>
      </w:pPr>
      <w:bookmarkStart w:id="44" w:name="_Hlk128242740"/>
      <w:bookmarkEnd w:id="43"/>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 xml:space="preserve">, </w:t>
      </w:r>
      <w:hyperlink r:id="rId15" w:history="1">
        <w:r w:rsidRPr="005D4E23">
          <w:rPr>
            <w:rStyle w:val="Hyperlink"/>
          </w:rPr>
          <w:t>https://mlsp.government.bg/proekt-bg05m9op001-1127-0001-razvitie-na-digitalnite-umeniya-komponent-1</w:t>
        </w:r>
      </w:hyperlink>
      <w:bookmarkEnd w:id="44"/>
    </w:p>
    <w:sectPr w:rsidR="006A7824" w:rsidRPr="00291A0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C330D" w14:textId="77777777" w:rsidR="00DC7C7A" w:rsidRDefault="00DC7C7A" w:rsidP="001E13A2">
      <w:r>
        <w:separator/>
      </w:r>
    </w:p>
  </w:endnote>
  <w:endnote w:type="continuationSeparator" w:id="0">
    <w:p w14:paraId="5DB39B78" w14:textId="77777777" w:rsidR="00DC7C7A" w:rsidRDefault="00DC7C7A"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8610944"/>
      <w:docPartObj>
        <w:docPartGallery w:val="Page Numbers (Bottom of Page)"/>
        <w:docPartUnique/>
      </w:docPartObj>
    </w:sdtPr>
    <w:sdtEndPr>
      <w:rPr>
        <w:noProof/>
      </w:rPr>
    </w:sdtEndPr>
    <w:sdtContent>
      <w:p w14:paraId="140FFC6A" w14:textId="43B62C8A" w:rsidR="0093072E" w:rsidRDefault="0093072E">
        <w:pPr>
          <w:pStyle w:val="Footer"/>
        </w:pPr>
        <w:r>
          <w:fldChar w:fldCharType="begin"/>
        </w:r>
        <w:r>
          <w:instrText xml:space="preserve"> PAGE   \* MERGEFORMAT </w:instrText>
        </w:r>
        <w:r>
          <w:fldChar w:fldCharType="separate"/>
        </w:r>
        <w:r>
          <w:rPr>
            <w:noProof/>
          </w:rPr>
          <w:t>2</w:t>
        </w:r>
        <w:r>
          <w:rPr>
            <w:noProof/>
          </w:rPr>
          <w:fldChar w:fldCharType="end"/>
        </w:r>
      </w:p>
    </w:sdtContent>
  </w:sdt>
  <w:p w14:paraId="7119C850" w14:textId="77777777" w:rsidR="001E7D72" w:rsidRDefault="001E7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6284E" w14:textId="77777777" w:rsidR="00DC7C7A" w:rsidRDefault="00DC7C7A" w:rsidP="001E13A2">
      <w:r>
        <w:separator/>
      </w:r>
    </w:p>
  </w:footnote>
  <w:footnote w:type="continuationSeparator" w:id="0">
    <w:p w14:paraId="37B9CA21" w14:textId="77777777" w:rsidR="00DC7C7A" w:rsidRDefault="00DC7C7A"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FE0EE8" w:rsidRDefault="00FE0EE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76B408C9" w14:textId="68899FD8" w:rsidR="00632C84" w:rsidRDefault="00632C84">
      <w:pPr>
        <w:pStyle w:val="FootnoteText"/>
      </w:pPr>
      <w:r>
        <w:rPr>
          <w:rStyle w:val="FootnoteReference"/>
        </w:rPr>
        <w:footnoteRef/>
      </w:r>
      <w:r>
        <w:t xml:space="preserve"> </w:t>
      </w:r>
      <w:hyperlink r:id="rId3" w:history="1">
        <w:r w:rsidR="001E7D72" w:rsidRPr="007D488A">
          <w:rPr>
            <w:rStyle w:val="Hyperlink"/>
          </w:rPr>
          <w:t>https://mlsp.government.bg/proekt-bg05m9op001-1127-0001-razvitie-na-digitalnite-umeniya-komponent-1</w:t>
        </w:r>
      </w:hyperlink>
    </w:p>
  </w:footnote>
  <w:footnote w:id="4">
    <w:p w14:paraId="1B9AB6DE" w14:textId="0EAB1341" w:rsidR="00A70C2B" w:rsidRDefault="00A70C2B">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2BDD6DD8" w:rsidR="007C5911" w:rsidRDefault="007C5911">
      <w:pPr>
        <w:pStyle w:val="FootnoteText"/>
      </w:pPr>
      <w:r>
        <w:rPr>
          <w:rStyle w:val="FootnoteReference"/>
        </w:rPr>
        <w:footnoteRef/>
      </w:r>
      <w:r>
        <w:t xml:space="preserve"> </w:t>
      </w:r>
      <w:hyperlink r:id="rId6" w:history="1">
        <w:r w:rsidR="001E7D72" w:rsidRPr="005D4E23">
          <w:rPr>
            <w:rStyle w:val="Hyperlink"/>
          </w:rPr>
          <w:t>https://mlsp.government.bg/proekt-bg05m9op001-1127-0001-razvitie-na-digitalnite-umeniya-komponent-1</w:t>
        </w:r>
      </w:hyperlink>
    </w:p>
  </w:footnote>
  <w:footnote w:id="7">
    <w:p w14:paraId="49520119" w14:textId="10D68037"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7C5911" w:rsidRDefault="007C5911">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hyperlink r:id="rId9" w:history="1">
        <w:r w:rsidRPr="009F7713">
          <w:rPr>
            <w:rStyle w:val="Hyperlink"/>
            <w:rFonts w:ascii="Times New Roman" w:hAnsi="Times New Roman" w:cs="Times New Roman"/>
          </w:rPr>
          <w:t>https://www.bcci.bg/bulgarian/projects/BeDigital/analysisBeDigital.html</w:t>
        </w:r>
      </w:hyperlink>
    </w:p>
  </w:footnote>
  <w:footnote w:id="10">
    <w:p w14:paraId="3167A2DA" w14:textId="05AD792B" w:rsidR="007C5911" w:rsidRDefault="007C5911">
      <w:pPr>
        <w:pStyle w:val="FootnoteText"/>
      </w:pPr>
      <w:r>
        <w:rPr>
          <w:rStyle w:val="FootnoteReference"/>
        </w:rPr>
        <w:footnoteRef/>
      </w:r>
      <w:r>
        <w:t xml:space="preserve"> </w:t>
      </w:r>
      <w:hyperlink r:id="rId10" w:history="1">
        <w:r w:rsidR="001E7D72" w:rsidRPr="005D4E23">
          <w:rPr>
            <w:rStyle w:val="Hyperlink"/>
          </w:rPr>
          <w:t>https://mlsp.government.bg/proekt-bg05m9op001-1127-0001-razvitie-na-digitalnite-umeniya-komponent-1</w:t>
        </w:r>
      </w:hyperlink>
    </w:p>
  </w:footnote>
  <w:footnote w:id="11">
    <w:p w14:paraId="6EE5921D" w14:textId="18E0A4AC" w:rsidR="007C5911" w:rsidRDefault="007C5911">
      <w:pPr>
        <w:pStyle w:val="FootnoteText"/>
      </w:pPr>
      <w:r>
        <w:rPr>
          <w:rStyle w:val="FootnoteReference"/>
        </w:rPr>
        <w:footnoteRef/>
      </w:r>
      <w:r>
        <w:t xml:space="preserve"> </w:t>
      </w:r>
      <w:hyperlink r:id="rId11" w:history="1">
        <w:r w:rsidR="001E7D72" w:rsidRPr="005D4E23">
          <w:rPr>
            <w:rStyle w:val="Hyperlink"/>
          </w:rPr>
          <w:t>https://mlsp.government.bg/proekt-bg05m9op001-1127-0001-razvitie-na-digitalnite-umeniya-komponent-1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D6DCE"/>
    <w:multiLevelType w:val="hybridMultilevel"/>
    <w:tmpl w:val="AEE07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9"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3"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9B22635"/>
    <w:multiLevelType w:val="hybridMultilevel"/>
    <w:tmpl w:val="E416E3AE"/>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7B5DE5"/>
    <w:multiLevelType w:val="hybridMultilevel"/>
    <w:tmpl w:val="EB5812F6"/>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9"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3"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31271727">
    <w:abstractNumId w:val="15"/>
  </w:num>
  <w:num w:numId="2" w16cid:durableId="571505650">
    <w:abstractNumId w:val="5"/>
  </w:num>
  <w:num w:numId="3" w16cid:durableId="1700620941">
    <w:abstractNumId w:val="6"/>
  </w:num>
  <w:num w:numId="4" w16cid:durableId="1345472423">
    <w:abstractNumId w:val="23"/>
  </w:num>
  <w:num w:numId="5" w16cid:durableId="2062173029">
    <w:abstractNumId w:val="13"/>
  </w:num>
  <w:num w:numId="6" w16cid:durableId="1498612406">
    <w:abstractNumId w:val="19"/>
  </w:num>
  <w:num w:numId="7" w16cid:durableId="86267053">
    <w:abstractNumId w:val="21"/>
  </w:num>
  <w:num w:numId="8" w16cid:durableId="625158187">
    <w:abstractNumId w:val="20"/>
  </w:num>
  <w:num w:numId="9" w16cid:durableId="1813474689">
    <w:abstractNumId w:val="25"/>
  </w:num>
  <w:num w:numId="10" w16cid:durableId="1248928658">
    <w:abstractNumId w:val="18"/>
  </w:num>
  <w:num w:numId="11" w16cid:durableId="957224918">
    <w:abstractNumId w:val="16"/>
  </w:num>
  <w:num w:numId="12" w16cid:durableId="819807543">
    <w:abstractNumId w:val="32"/>
  </w:num>
  <w:num w:numId="13" w16cid:durableId="15740049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1107234">
    <w:abstractNumId w:val="7"/>
  </w:num>
  <w:num w:numId="15" w16cid:durableId="838882988">
    <w:abstractNumId w:val="17"/>
  </w:num>
  <w:num w:numId="16" w16cid:durableId="400176998">
    <w:abstractNumId w:val="14"/>
  </w:num>
  <w:num w:numId="17" w16cid:durableId="763191399">
    <w:abstractNumId w:val="22"/>
  </w:num>
  <w:num w:numId="18" w16cid:durableId="294021636">
    <w:abstractNumId w:val="24"/>
  </w:num>
  <w:num w:numId="19" w16cid:durableId="309330212">
    <w:abstractNumId w:val="16"/>
  </w:num>
  <w:num w:numId="20" w16cid:durableId="375862428">
    <w:abstractNumId w:val="0"/>
  </w:num>
  <w:num w:numId="21" w16cid:durableId="779225185">
    <w:abstractNumId w:val="16"/>
  </w:num>
  <w:num w:numId="22" w16cid:durableId="1609845986">
    <w:abstractNumId w:val="16"/>
  </w:num>
  <w:num w:numId="23" w16cid:durableId="1266186349">
    <w:abstractNumId w:val="16"/>
  </w:num>
  <w:num w:numId="24" w16cid:durableId="602110663">
    <w:abstractNumId w:val="16"/>
  </w:num>
  <w:num w:numId="25" w16cid:durableId="1902673492">
    <w:abstractNumId w:val="16"/>
  </w:num>
  <w:num w:numId="26" w16cid:durableId="1124152243">
    <w:abstractNumId w:val="16"/>
  </w:num>
  <w:num w:numId="27" w16cid:durableId="712538149">
    <w:abstractNumId w:val="16"/>
  </w:num>
  <w:num w:numId="28" w16cid:durableId="1526289493">
    <w:abstractNumId w:val="9"/>
  </w:num>
  <w:num w:numId="29" w16cid:durableId="2059469923">
    <w:abstractNumId w:val="10"/>
  </w:num>
  <w:num w:numId="30" w16cid:durableId="1977907853">
    <w:abstractNumId w:val="30"/>
  </w:num>
  <w:num w:numId="31" w16cid:durableId="729503374">
    <w:abstractNumId w:val="8"/>
  </w:num>
  <w:num w:numId="32" w16cid:durableId="206378039">
    <w:abstractNumId w:val="28"/>
  </w:num>
  <w:num w:numId="33" w16cid:durableId="1149009725">
    <w:abstractNumId w:val="31"/>
  </w:num>
  <w:num w:numId="34" w16cid:durableId="166794524">
    <w:abstractNumId w:val="29"/>
  </w:num>
  <w:num w:numId="35" w16cid:durableId="508064064">
    <w:abstractNumId w:val="31"/>
  </w:num>
  <w:num w:numId="36" w16cid:durableId="991829963">
    <w:abstractNumId w:val="31"/>
  </w:num>
  <w:num w:numId="37" w16cid:durableId="1175919112">
    <w:abstractNumId w:val="4"/>
  </w:num>
  <w:num w:numId="38" w16cid:durableId="593442424">
    <w:abstractNumId w:val="12"/>
  </w:num>
  <w:num w:numId="39" w16cid:durableId="1562987183">
    <w:abstractNumId w:val="1"/>
  </w:num>
  <w:num w:numId="40" w16cid:durableId="710882986">
    <w:abstractNumId w:val="11"/>
  </w:num>
  <w:num w:numId="41" w16cid:durableId="1376663466">
    <w:abstractNumId w:val="33"/>
  </w:num>
  <w:num w:numId="42" w16cid:durableId="605772359">
    <w:abstractNumId w:val="2"/>
  </w:num>
  <w:num w:numId="43" w16cid:durableId="232740378">
    <w:abstractNumId w:val="26"/>
  </w:num>
  <w:num w:numId="44" w16cid:durableId="33775458">
    <w:abstractNumId w:val="3"/>
  </w:num>
  <w:num w:numId="45" w16cid:durableId="3489452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2789E"/>
    <w:rsid w:val="000372DC"/>
    <w:rsid w:val="00045C27"/>
    <w:rsid w:val="0005061B"/>
    <w:rsid w:val="00051585"/>
    <w:rsid w:val="00053F14"/>
    <w:rsid w:val="000607BF"/>
    <w:rsid w:val="0006248C"/>
    <w:rsid w:val="000778FC"/>
    <w:rsid w:val="00084505"/>
    <w:rsid w:val="00090601"/>
    <w:rsid w:val="000B07C2"/>
    <w:rsid w:val="000E4FA7"/>
    <w:rsid w:val="000E7F8C"/>
    <w:rsid w:val="00140A2F"/>
    <w:rsid w:val="00153336"/>
    <w:rsid w:val="00160130"/>
    <w:rsid w:val="00163A20"/>
    <w:rsid w:val="0016626F"/>
    <w:rsid w:val="0017769D"/>
    <w:rsid w:val="001864B5"/>
    <w:rsid w:val="001C3577"/>
    <w:rsid w:val="001D5004"/>
    <w:rsid w:val="001E13A2"/>
    <w:rsid w:val="001E7623"/>
    <w:rsid w:val="001E7D72"/>
    <w:rsid w:val="00200110"/>
    <w:rsid w:val="00205285"/>
    <w:rsid w:val="00214245"/>
    <w:rsid w:val="0021464F"/>
    <w:rsid w:val="00215721"/>
    <w:rsid w:val="00221EA0"/>
    <w:rsid w:val="00227A23"/>
    <w:rsid w:val="00227C5A"/>
    <w:rsid w:val="0023115C"/>
    <w:rsid w:val="002336B8"/>
    <w:rsid w:val="002342EF"/>
    <w:rsid w:val="00237C1B"/>
    <w:rsid w:val="0024005F"/>
    <w:rsid w:val="0025412D"/>
    <w:rsid w:val="002600C5"/>
    <w:rsid w:val="002659F3"/>
    <w:rsid w:val="00285A8B"/>
    <w:rsid w:val="00291A01"/>
    <w:rsid w:val="002964EB"/>
    <w:rsid w:val="002A0D6A"/>
    <w:rsid w:val="002A212E"/>
    <w:rsid w:val="002A38C6"/>
    <w:rsid w:val="002A3C24"/>
    <w:rsid w:val="002D33A9"/>
    <w:rsid w:val="002D627D"/>
    <w:rsid w:val="002F5496"/>
    <w:rsid w:val="00313D03"/>
    <w:rsid w:val="0031671C"/>
    <w:rsid w:val="00324FE6"/>
    <w:rsid w:val="00340446"/>
    <w:rsid w:val="00345F9C"/>
    <w:rsid w:val="00351B29"/>
    <w:rsid w:val="0036026E"/>
    <w:rsid w:val="003669D9"/>
    <w:rsid w:val="003741C9"/>
    <w:rsid w:val="003A206B"/>
    <w:rsid w:val="003A6A93"/>
    <w:rsid w:val="003A7638"/>
    <w:rsid w:val="003A7B2D"/>
    <w:rsid w:val="003B593E"/>
    <w:rsid w:val="003B71A4"/>
    <w:rsid w:val="003C165C"/>
    <w:rsid w:val="003C5381"/>
    <w:rsid w:val="003D3539"/>
    <w:rsid w:val="003D3FB2"/>
    <w:rsid w:val="003E164A"/>
    <w:rsid w:val="003E2D3E"/>
    <w:rsid w:val="003E679F"/>
    <w:rsid w:val="003F3EAA"/>
    <w:rsid w:val="003F6F1D"/>
    <w:rsid w:val="00407D75"/>
    <w:rsid w:val="004127CE"/>
    <w:rsid w:val="00423BA9"/>
    <w:rsid w:val="00435CF4"/>
    <w:rsid w:val="00444496"/>
    <w:rsid w:val="00451E9E"/>
    <w:rsid w:val="00452485"/>
    <w:rsid w:val="00455E3A"/>
    <w:rsid w:val="00466878"/>
    <w:rsid w:val="00470FAD"/>
    <w:rsid w:val="00496A9E"/>
    <w:rsid w:val="004B3A63"/>
    <w:rsid w:val="004C4CBE"/>
    <w:rsid w:val="004D6C05"/>
    <w:rsid w:val="004F41D1"/>
    <w:rsid w:val="00500F6D"/>
    <w:rsid w:val="005057E1"/>
    <w:rsid w:val="00505DB3"/>
    <w:rsid w:val="005213B2"/>
    <w:rsid w:val="0052450E"/>
    <w:rsid w:val="00527B59"/>
    <w:rsid w:val="00541321"/>
    <w:rsid w:val="00543927"/>
    <w:rsid w:val="00557F92"/>
    <w:rsid w:val="005749CB"/>
    <w:rsid w:val="00575304"/>
    <w:rsid w:val="005831B5"/>
    <w:rsid w:val="00590C1E"/>
    <w:rsid w:val="00593365"/>
    <w:rsid w:val="005A569B"/>
    <w:rsid w:val="005A5954"/>
    <w:rsid w:val="005A5DB1"/>
    <w:rsid w:val="005B766D"/>
    <w:rsid w:val="005C53B6"/>
    <w:rsid w:val="005C7F40"/>
    <w:rsid w:val="005D2416"/>
    <w:rsid w:val="005D308E"/>
    <w:rsid w:val="005E798D"/>
    <w:rsid w:val="005F66EF"/>
    <w:rsid w:val="00610A46"/>
    <w:rsid w:val="006203B8"/>
    <w:rsid w:val="00632C84"/>
    <w:rsid w:val="00643B4C"/>
    <w:rsid w:val="00661089"/>
    <w:rsid w:val="00663C7E"/>
    <w:rsid w:val="00673036"/>
    <w:rsid w:val="0067380D"/>
    <w:rsid w:val="006763C7"/>
    <w:rsid w:val="00682AFD"/>
    <w:rsid w:val="00686168"/>
    <w:rsid w:val="00692AF1"/>
    <w:rsid w:val="006A1823"/>
    <w:rsid w:val="006A7824"/>
    <w:rsid w:val="006B4E60"/>
    <w:rsid w:val="006B53FD"/>
    <w:rsid w:val="006C45C6"/>
    <w:rsid w:val="006C719A"/>
    <w:rsid w:val="006D07DD"/>
    <w:rsid w:val="006D3640"/>
    <w:rsid w:val="006D5AC6"/>
    <w:rsid w:val="006E2E6A"/>
    <w:rsid w:val="007133F5"/>
    <w:rsid w:val="00726347"/>
    <w:rsid w:val="00736B5B"/>
    <w:rsid w:val="00737CB2"/>
    <w:rsid w:val="00740B5E"/>
    <w:rsid w:val="007459BE"/>
    <w:rsid w:val="00747487"/>
    <w:rsid w:val="007730FC"/>
    <w:rsid w:val="00776C3B"/>
    <w:rsid w:val="00776EC3"/>
    <w:rsid w:val="00781410"/>
    <w:rsid w:val="0078385B"/>
    <w:rsid w:val="007877A2"/>
    <w:rsid w:val="00795F99"/>
    <w:rsid w:val="007C5911"/>
    <w:rsid w:val="007D633E"/>
    <w:rsid w:val="007F1C4A"/>
    <w:rsid w:val="008027AB"/>
    <w:rsid w:val="00810D40"/>
    <w:rsid w:val="00814AE4"/>
    <w:rsid w:val="00815B6C"/>
    <w:rsid w:val="0083131E"/>
    <w:rsid w:val="00860697"/>
    <w:rsid w:val="008666FF"/>
    <w:rsid w:val="00871CD4"/>
    <w:rsid w:val="00881E00"/>
    <w:rsid w:val="00887D49"/>
    <w:rsid w:val="008A049B"/>
    <w:rsid w:val="008F13BD"/>
    <w:rsid w:val="008F44FF"/>
    <w:rsid w:val="008F7993"/>
    <w:rsid w:val="009025B8"/>
    <w:rsid w:val="00917029"/>
    <w:rsid w:val="00920790"/>
    <w:rsid w:val="009257E0"/>
    <w:rsid w:val="00927CD4"/>
    <w:rsid w:val="0093072E"/>
    <w:rsid w:val="009328F9"/>
    <w:rsid w:val="00985B31"/>
    <w:rsid w:val="00993C47"/>
    <w:rsid w:val="009B1368"/>
    <w:rsid w:val="009B298E"/>
    <w:rsid w:val="009C0863"/>
    <w:rsid w:val="009F28C3"/>
    <w:rsid w:val="009F3576"/>
    <w:rsid w:val="00A07108"/>
    <w:rsid w:val="00A24AD3"/>
    <w:rsid w:val="00A323D0"/>
    <w:rsid w:val="00A34C64"/>
    <w:rsid w:val="00A355E3"/>
    <w:rsid w:val="00A630F9"/>
    <w:rsid w:val="00A67BC7"/>
    <w:rsid w:val="00A70C2B"/>
    <w:rsid w:val="00A7284A"/>
    <w:rsid w:val="00AA7EB2"/>
    <w:rsid w:val="00AB7B7E"/>
    <w:rsid w:val="00AE2310"/>
    <w:rsid w:val="00AE3C4F"/>
    <w:rsid w:val="00AE5455"/>
    <w:rsid w:val="00B31D94"/>
    <w:rsid w:val="00B33BB4"/>
    <w:rsid w:val="00B363AF"/>
    <w:rsid w:val="00B54045"/>
    <w:rsid w:val="00B562C2"/>
    <w:rsid w:val="00B71D91"/>
    <w:rsid w:val="00B87029"/>
    <w:rsid w:val="00B87F22"/>
    <w:rsid w:val="00B935F3"/>
    <w:rsid w:val="00B946ED"/>
    <w:rsid w:val="00B97A52"/>
    <w:rsid w:val="00BA060B"/>
    <w:rsid w:val="00BA5A3B"/>
    <w:rsid w:val="00BC286D"/>
    <w:rsid w:val="00BE09B0"/>
    <w:rsid w:val="00BF0FB8"/>
    <w:rsid w:val="00BF3762"/>
    <w:rsid w:val="00BF5BB9"/>
    <w:rsid w:val="00BF79DE"/>
    <w:rsid w:val="00C00F9F"/>
    <w:rsid w:val="00C265EC"/>
    <w:rsid w:val="00C34650"/>
    <w:rsid w:val="00C34AA7"/>
    <w:rsid w:val="00C41C62"/>
    <w:rsid w:val="00C52DA2"/>
    <w:rsid w:val="00C63128"/>
    <w:rsid w:val="00C74E66"/>
    <w:rsid w:val="00C81467"/>
    <w:rsid w:val="00C82BE2"/>
    <w:rsid w:val="00C96A6C"/>
    <w:rsid w:val="00CB31F0"/>
    <w:rsid w:val="00CB52A9"/>
    <w:rsid w:val="00CD1C6E"/>
    <w:rsid w:val="00CD2D8A"/>
    <w:rsid w:val="00CE5A42"/>
    <w:rsid w:val="00CF5BF7"/>
    <w:rsid w:val="00D20AE3"/>
    <w:rsid w:val="00D25DEA"/>
    <w:rsid w:val="00D42092"/>
    <w:rsid w:val="00D45E98"/>
    <w:rsid w:val="00D4731F"/>
    <w:rsid w:val="00D5349A"/>
    <w:rsid w:val="00D5412E"/>
    <w:rsid w:val="00D57BFD"/>
    <w:rsid w:val="00D86A63"/>
    <w:rsid w:val="00D91F2D"/>
    <w:rsid w:val="00D92F01"/>
    <w:rsid w:val="00DA0199"/>
    <w:rsid w:val="00DA26D7"/>
    <w:rsid w:val="00DA6399"/>
    <w:rsid w:val="00DB37EC"/>
    <w:rsid w:val="00DB4445"/>
    <w:rsid w:val="00DC7C7A"/>
    <w:rsid w:val="00DD6B3F"/>
    <w:rsid w:val="00DE0B69"/>
    <w:rsid w:val="00DE4A3E"/>
    <w:rsid w:val="00DE73B1"/>
    <w:rsid w:val="00DF3E13"/>
    <w:rsid w:val="00DF4DCE"/>
    <w:rsid w:val="00E00969"/>
    <w:rsid w:val="00E06158"/>
    <w:rsid w:val="00E114B4"/>
    <w:rsid w:val="00E219CC"/>
    <w:rsid w:val="00E219E3"/>
    <w:rsid w:val="00E252E9"/>
    <w:rsid w:val="00E36164"/>
    <w:rsid w:val="00E37CB3"/>
    <w:rsid w:val="00E45DCC"/>
    <w:rsid w:val="00E50B5D"/>
    <w:rsid w:val="00E60B1D"/>
    <w:rsid w:val="00E63725"/>
    <w:rsid w:val="00E7265E"/>
    <w:rsid w:val="00E7324D"/>
    <w:rsid w:val="00E9524C"/>
    <w:rsid w:val="00EA1B57"/>
    <w:rsid w:val="00ED2419"/>
    <w:rsid w:val="00ED2796"/>
    <w:rsid w:val="00ED6CD6"/>
    <w:rsid w:val="00EF143B"/>
    <w:rsid w:val="00EF4477"/>
    <w:rsid w:val="00F0057A"/>
    <w:rsid w:val="00F3149E"/>
    <w:rsid w:val="00F314B2"/>
    <w:rsid w:val="00F3490A"/>
    <w:rsid w:val="00F36358"/>
    <w:rsid w:val="00F67DB2"/>
    <w:rsid w:val="00F77C18"/>
    <w:rsid w:val="00F842D1"/>
    <w:rsid w:val="00F84AEE"/>
    <w:rsid w:val="00F9487B"/>
    <w:rsid w:val="00F979D6"/>
    <w:rsid w:val="00FA0317"/>
    <w:rsid w:val="00FA51AD"/>
    <w:rsid w:val="00FA73BF"/>
    <w:rsid w:val="00FB344C"/>
    <w:rsid w:val="00FB494D"/>
    <w:rsid w:val="00FC082D"/>
    <w:rsid w:val="00FE006A"/>
    <w:rsid w:val="00FE01E1"/>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878"/>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43B4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93C47"/>
    <w:rPr>
      <w:color w:val="605E5C"/>
      <w:shd w:val="clear" w:color="auto" w:fill="E1DFDD"/>
    </w:rPr>
  </w:style>
  <w:style w:type="paragraph" w:styleId="TableofFigures">
    <w:name w:val="table of figures"/>
    <w:basedOn w:val="Normal"/>
    <w:next w:val="Normal"/>
    <w:uiPriority w:val="99"/>
    <w:unhideWhenUsed/>
    <w:rsid w:val="00831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mlsp.government.bg/proekt-bg05m9op001-1127-0001-razvitie-na-digitalnite-umeniya-komponent-1"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mlsp.government.bg/proekt-bg05m9op001-1127-0001-razvitie-na-digitalnite-umeniya-komponent-1" TargetMode="External"/><Relationship Id="rId11" Type="http://schemas.openxmlformats.org/officeDocument/2006/relationships/hyperlink" Target="https://mlsp.government.bg/proekt-bg05m9op001-1127-0001-razvitie-na-digitalnite-umeniya-komponent-1"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www.bcci.bg/bulgarian/projects/BeDigital/analysisBeDigit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19</Pages>
  <Words>5030</Words>
  <Characters>28671</Characters>
  <Application>Microsoft Office Word</Application>
  <DocSecurity>0</DocSecurity>
  <Lines>238</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41</cp:revision>
  <cp:lastPrinted>2023-02-21T17:50:00Z</cp:lastPrinted>
  <dcterms:created xsi:type="dcterms:W3CDTF">2023-03-06T09:28:00Z</dcterms:created>
  <dcterms:modified xsi:type="dcterms:W3CDTF">2023-04-07T11:28:00Z</dcterms:modified>
</cp:coreProperties>
</file>